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E1A8" w14:textId="70EE61D7" w:rsidR="00D133BF" w:rsidRPr="00C76BBB" w:rsidRDefault="00CB5740" w:rsidP="00C76BBB">
      <w:pPr>
        <w:pStyle w:val="Heading1"/>
        <w:spacing w:after="120" w:line="276" w:lineRule="auto"/>
        <w:jc w:val="left"/>
        <w:rPr>
          <w:rFonts w:ascii="Verdana" w:hAnsi="Verdana"/>
          <w:szCs w:val="24"/>
        </w:rPr>
      </w:pPr>
      <w:r w:rsidRPr="00812EBC">
        <w:rPr>
          <w:rFonts w:ascii="Verdana" w:hAnsi="Verdana"/>
          <w:szCs w:val="24"/>
        </w:rPr>
        <w:t>ADMISSIONS POLICY</w:t>
      </w:r>
    </w:p>
    <w:p w14:paraId="3308D492" w14:textId="3AAF15D7" w:rsidR="001E6D2F" w:rsidRPr="00812EBC" w:rsidRDefault="00CB5740" w:rsidP="00BE570E">
      <w:pPr>
        <w:pStyle w:val="Heading3"/>
        <w:numPr>
          <w:ilvl w:val="0"/>
          <w:numId w:val="3"/>
        </w:numPr>
        <w:spacing w:after="120" w:line="276" w:lineRule="auto"/>
        <w:rPr>
          <w:rFonts w:ascii="Verdana" w:hAnsi="Verdana"/>
          <w:sz w:val="21"/>
          <w:szCs w:val="21"/>
        </w:rPr>
      </w:pPr>
      <w:r w:rsidRPr="00812EBC">
        <w:rPr>
          <w:rFonts w:ascii="Verdana" w:hAnsi="Verdana"/>
          <w:sz w:val="21"/>
          <w:szCs w:val="21"/>
        </w:rPr>
        <w:t>Introduction</w:t>
      </w:r>
    </w:p>
    <w:p w14:paraId="7CFDF5A9" w14:textId="2FAEEE52" w:rsidR="00C23E59" w:rsidRDefault="00CB5740" w:rsidP="00BE570E">
      <w:pPr>
        <w:pStyle w:val="Heading3"/>
        <w:numPr>
          <w:ilvl w:val="1"/>
          <w:numId w:val="4"/>
        </w:numPr>
        <w:spacing w:after="120" w:line="276" w:lineRule="auto"/>
        <w:ind w:left="709" w:hanging="578"/>
        <w:rPr>
          <w:rFonts w:ascii="Verdana" w:hAnsi="Verdana" w:cs="Arial"/>
          <w:b w:val="0"/>
          <w:color w:val="000000" w:themeColor="text1"/>
          <w:sz w:val="21"/>
          <w:szCs w:val="21"/>
          <w:lang w:val="en-US"/>
        </w:rPr>
      </w:pPr>
      <w:r w:rsidRPr="00812EBC">
        <w:rPr>
          <w:rFonts w:ascii="Verdana" w:hAnsi="Verdana" w:cs="Arial"/>
          <w:b w:val="0"/>
          <w:sz w:val="21"/>
          <w:szCs w:val="21"/>
        </w:rPr>
        <w:t>The Boxing Academy is an A</w:t>
      </w:r>
      <w:r w:rsidR="003731C5">
        <w:rPr>
          <w:rFonts w:ascii="Verdana" w:hAnsi="Verdana" w:cs="Arial"/>
          <w:b w:val="0"/>
          <w:sz w:val="21"/>
          <w:szCs w:val="21"/>
        </w:rPr>
        <w:t>lternative Provision School</w:t>
      </w:r>
      <w:r w:rsidRPr="00812EBC">
        <w:rPr>
          <w:rFonts w:ascii="Verdana" w:hAnsi="Verdana" w:cs="Arial"/>
          <w:b w:val="0"/>
          <w:sz w:val="21"/>
          <w:szCs w:val="21"/>
        </w:rPr>
        <w:t xml:space="preserve"> based in Hackney, East London, which caters for children </w:t>
      </w:r>
      <w:r w:rsidR="000111D7" w:rsidRPr="00812EBC">
        <w:rPr>
          <w:rFonts w:ascii="Verdana" w:hAnsi="Verdana" w:cs="Arial"/>
          <w:b w:val="0"/>
          <w:sz w:val="21"/>
          <w:szCs w:val="21"/>
        </w:rPr>
        <w:t xml:space="preserve">of both genders </w:t>
      </w:r>
      <w:r w:rsidRPr="00812EBC">
        <w:rPr>
          <w:rFonts w:ascii="Verdana" w:hAnsi="Verdana" w:cs="Arial"/>
          <w:b w:val="0"/>
          <w:sz w:val="21"/>
          <w:szCs w:val="21"/>
        </w:rPr>
        <w:t>aged 1</w:t>
      </w:r>
      <w:r w:rsidR="00E548BC">
        <w:rPr>
          <w:rFonts w:ascii="Verdana" w:hAnsi="Verdana" w:cs="Arial"/>
          <w:b w:val="0"/>
          <w:sz w:val="21"/>
          <w:szCs w:val="21"/>
        </w:rPr>
        <w:t>2</w:t>
      </w:r>
      <w:r w:rsidRPr="00812EBC">
        <w:rPr>
          <w:rFonts w:ascii="Verdana" w:hAnsi="Verdana" w:cs="Arial"/>
          <w:b w:val="0"/>
          <w:sz w:val="21"/>
          <w:szCs w:val="21"/>
        </w:rPr>
        <w:t xml:space="preserve"> – 16 who are in danger of exclusion, or who have already been </w:t>
      </w:r>
      <w:r w:rsidR="00CC7B91" w:rsidRPr="00812EBC">
        <w:rPr>
          <w:rFonts w:ascii="Verdana" w:hAnsi="Verdana" w:cs="Arial"/>
          <w:b w:val="0"/>
          <w:sz w:val="21"/>
          <w:szCs w:val="21"/>
        </w:rPr>
        <w:t xml:space="preserve">permanently </w:t>
      </w:r>
      <w:r w:rsidRPr="00812EBC">
        <w:rPr>
          <w:rFonts w:ascii="Verdana" w:hAnsi="Verdana" w:cs="Arial"/>
          <w:b w:val="0"/>
          <w:sz w:val="21"/>
          <w:szCs w:val="21"/>
        </w:rPr>
        <w:t>excluded, from mainstream school</w:t>
      </w:r>
      <w:r w:rsidRPr="00812EBC">
        <w:rPr>
          <w:rFonts w:ascii="Verdana" w:hAnsi="Verdana" w:cs="Arial"/>
          <w:b w:val="0"/>
          <w:color w:val="000000" w:themeColor="text1"/>
          <w:sz w:val="21"/>
          <w:szCs w:val="21"/>
        </w:rPr>
        <w:t xml:space="preserve">. </w:t>
      </w:r>
      <w:r w:rsidRPr="00812EBC">
        <w:rPr>
          <w:rFonts w:ascii="Verdana" w:hAnsi="Verdana" w:cs="Arial"/>
          <w:b w:val="0"/>
          <w:color w:val="000000" w:themeColor="text1"/>
          <w:sz w:val="21"/>
          <w:szCs w:val="21"/>
          <w:lang w:val="en-US"/>
        </w:rPr>
        <w:t xml:space="preserve">Using the positive effects of sport, especially boxing, we help some of the most disadvantaged and hard to reach young people in London engage with education, training or employment and play a positive role in their communities. </w:t>
      </w:r>
    </w:p>
    <w:p w14:paraId="071D0088" w14:textId="3829D8D3" w:rsidR="00E01B09" w:rsidRPr="00812EBC" w:rsidRDefault="00CB5740" w:rsidP="00C76BBB">
      <w:pPr>
        <w:pStyle w:val="Heading3"/>
        <w:spacing w:after="120" w:line="276" w:lineRule="auto"/>
        <w:ind w:left="720"/>
        <w:rPr>
          <w:rFonts w:ascii="Verdana" w:hAnsi="Verdana" w:cs="Arial"/>
          <w:b w:val="0"/>
          <w:color w:val="000000" w:themeColor="text1"/>
          <w:sz w:val="21"/>
          <w:szCs w:val="21"/>
          <w:lang w:val="en-US"/>
        </w:rPr>
      </w:pPr>
      <w:r w:rsidRPr="00812EBC">
        <w:rPr>
          <w:rFonts w:ascii="Verdana" w:hAnsi="Verdana" w:cs="Arial"/>
          <w:b w:val="0"/>
          <w:color w:val="000000" w:themeColor="text1"/>
          <w:sz w:val="21"/>
          <w:szCs w:val="21"/>
          <w:lang w:val="en-US"/>
        </w:rPr>
        <w:t xml:space="preserve">The Boxing Academy follows a normal school year combining academic, vocational and life skills qualifications with sports such as boxing, athletics, table tennis, </w:t>
      </w:r>
      <w:proofErr w:type="gramStart"/>
      <w:r w:rsidRPr="00812EBC">
        <w:rPr>
          <w:rFonts w:ascii="Verdana" w:hAnsi="Verdana" w:cs="Arial"/>
          <w:b w:val="0"/>
          <w:color w:val="000000" w:themeColor="text1"/>
          <w:sz w:val="21"/>
          <w:szCs w:val="21"/>
          <w:lang w:val="en-US"/>
        </w:rPr>
        <w:t>badminton</w:t>
      </w:r>
      <w:proofErr w:type="gramEnd"/>
      <w:r w:rsidRPr="00812EBC">
        <w:rPr>
          <w:rFonts w:ascii="Verdana" w:hAnsi="Verdana" w:cs="Arial"/>
          <w:b w:val="0"/>
          <w:color w:val="000000" w:themeColor="text1"/>
          <w:sz w:val="21"/>
          <w:szCs w:val="21"/>
          <w:lang w:val="en-US"/>
        </w:rPr>
        <w:t xml:space="preserve"> and football. </w:t>
      </w:r>
    </w:p>
    <w:p w14:paraId="74CFA3B7" w14:textId="5AC66997" w:rsidR="001E6D2F" w:rsidRPr="00812EBC" w:rsidRDefault="00957EAA" w:rsidP="00BE570E">
      <w:pPr>
        <w:pStyle w:val="Heading3"/>
        <w:numPr>
          <w:ilvl w:val="0"/>
          <w:numId w:val="3"/>
        </w:numPr>
        <w:spacing w:after="120" w:line="276" w:lineRule="auto"/>
        <w:rPr>
          <w:rFonts w:ascii="Verdana" w:hAnsi="Verdana"/>
          <w:bCs/>
          <w:sz w:val="21"/>
          <w:szCs w:val="21"/>
          <w:lang w:val="en-US"/>
        </w:rPr>
      </w:pPr>
      <w:r w:rsidRPr="00812EBC">
        <w:rPr>
          <w:rFonts w:ascii="Verdana" w:hAnsi="Verdana"/>
          <w:bCs/>
          <w:sz w:val="21"/>
          <w:szCs w:val="21"/>
          <w:lang w:val="en-US"/>
        </w:rPr>
        <w:t>Criteria</w:t>
      </w:r>
      <w:r w:rsidR="00F73719" w:rsidRPr="00812EBC">
        <w:rPr>
          <w:rFonts w:ascii="Verdana" w:hAnsi="Verdana"/>
          <w:bCs/>
          <w:sz w:val="21"/>
          <w:szCs w:val="21"/>
          <w:lang w:val="en-US"/>
        </w:rPr>
        <w:t xml:space="preserve"> </w:t>
      </w:r>
    </w:p>
    <w:p w14:paraId="563378A3" w14:textId="34EE0F3E" w:rsidR="00A35793" w:rsidRPr="00812EBC" w:rsidRDefault="00CB5740" w:rsidP="00BE570E">
      <w:pPr>
        <w:pStyle w:val="Heading3"/>
        <w:numPr>
          <w:ilvl w:val="1"/>
          <w:numId w:val="3"/>
        </w:numPr>
        <w:spacing w:after="120" w:line="276" w:lineRule="auto"/>
        <w:ind w:left="720" w:hanging="540"/>
        <w:rPr>
          <w:rFonts w:ascii="Verdana" w:hAnsi="Verdana"/>
          <w:b w:val="0"/>
          <w:bCs/>
          <w:sz w:val="21"/>
          <w:szCs w:val="21"/>
          <w:lang w:val="en-US"/>
        </w:rPr>
      </w:pPr>
      <w:r w:rsidRPr="00812EBC">
        <w:rPr>
          <w:rFonts w:ascii="Verdana" w:hAnsi="Verdana"/>
          <w:b w:val="0"/>
          <w:bCs/>
          <w:sz w:val="21"/>
          <w:szCs w:val="21"/>
          <w:lang w:val="en-US"/>
        </w:rPr>
        <w:t xml:space="preserve">Students arrive at The Boxing Academy through many different routes. The admissions process in an alternative provision context has to be flexible to accommodate the varying circumstances </w:t>
      </w:r>
      <w:r w:rsidR="000B15F8" w:rsidRPr="00812EBC">
        <w:rPr>
          <w:rFonts w:ascii="Verdana" w:hAnsi="Verdana"/>
          <w:b w:val="0"/>
          <w:bCs/>
          <w:sz w:val="21"/>
          <w:szCs w:val="21"/>
          <w:lang w:val="en-US"/>
        </w:rPr>
        <w:t xml:space="preserve">within which </w:t>
      </w:r>
      <w:r w:rsidRPr="00812EBC">
        <w:rPr>
          <w:rFonts w:ascii="Verdana" w:hAnsi="Verdana"/>
          <w:b w:val="0"/>
          <w:bCs/>
          <w:sz w:val="21"/>
          <w:szCs w:val="21"/>
          <w:lang w:val="en-US"/>
        </w:rPr>
        <w:t xml:space="preserve">young people </w:t>
      </w:r>
      <w:r w:rsidR="000B15F8" w:rsidRPr="00812EBC">
        <w:rPr>
          <w:rFonts w:ascii="Verdana" w:hAnsi="Verdana"/>
          <w:b w:val="0"/>
          <w:bCs/>
          <w:sz w:val="21"/>
          <w:szCs w:val="21"/>
          <w:lang w:val="en-US"/>
        </w:rPr>
        <w:t>who have struggled with</w:t>
      </w:r>
      <w:r w:rsidRPr="00812EBC">
        <w:rPr>
          <w:rFonts w:ascii="Verdana" w:hAnsi="Verdana"/>
          <w:b w:val="0"/>
          <w:bCs/>
          <w:sz w:val="21"/>
          <w:szCs w:val="21"/>
          <w:lang w:val="en-US"/>
        </w:rPr>
        <w:t xml:space="preserve"> mainstr</w:t>
      </w:r>
      <w:r w:rsidR="000B15F8" w:rsidRPr="00812EBC">
        <w:rPr>
          <w:rFonts w:ascii="Verdana" w:hAnsi="Verdana"/>
          <w:b w:val="0"/>
          <w:bCs/>
          <w:sz w:val="21"/>
          <w:szCs w:val="21"/>
          <w:lang w:val="en-US"/>
        </w:rPr>
        <w:t>eam education find themselves</w:t>
      </w:r>
      <w:r w:rsidRPr="00812EBC">
        <w:rPr>
          <w:rFonts w:ascii="Verdana" w:hAnsi="Verdana"/>
          <w:b w:val="0"/>
          <w:bCs/>
          <w:sz w:val="21"/>
          <w:szCs w:val="21"/>
          <w:lang w:val="en-US"/>
        </w:rPr>
        <w:t>. Some students are referred by agencies and local authorities and may become fully registered to The Boxing Academy, however the majority of students are referred directly by other schools and ac</w:t>
      </w:r>
      <w:r w:rsidR="00A35793" w:rsidRPr="00812EBC">
        <w:rPr>
          <w:rFonts w:ascii="Verdana" w:hAnsi="Verdana"/>
          <w:b w:val="0"/>
          <w:bCs/>
          <w:sz w:val="21"/>
          <w:szCs w:val="21"/>
          <w:lang w:val="en-US"/>
        </w:rPr>
        <w:t>ademies and are dual registered.</w:t>
      </w:r>
      <w:r w:rsidR="000111D7" w:rsidRPr="00812EBC">
        <w:rPr>
          <w:rFonts w:ascii="Verdana" w:hAnsi="Verdana"/>
          <w:b w:val="0"/>
          <w:bCs/>
          <w:sz w:val="21"/>
          <w:szCs w:val="21"/>
          <w:lang w:val="en-US"/>
        </w:rPr>
        <w:t xml:space="preserve"> </w:t>
      </w:r>
      <w:r w:rsidR="000111D7" w:rsidRPr="00812EBC">
        <w:rPr>
          <w:rFonts w:ascii="Verdana" w:hAnsi="Verdana"/>
          <w:b w:val="0"/>
          <w:bCs/>
          <w:sz w:val="21"/>
          <w:szCs w:val="21"/>
        </w:rPr>
        <w:t>Pupils will undergo an assessment process for reintegration</w:t>
      </w:r>
      <w:r w:rsidR="00C36D74" w:rsidRPr="00812EBC">
        <w:rPr>
          <w:rFonts w:ascii="Verdana" w:hAnsi="Verdana"/>
          <w:b w:val="0"/>
          <w:bCs/>
          <w:sz w:val="21"/>
          <w:szCs w:val="21"/>
        </w:rPr>
        <w:t xml:space="preserve"> whilst</w:t>
      </w:r>
      <w:r w:rsidR="000111D7" w:rsidRPr="00812EBC">
        <w:rPr>
          <w:rFonts w:ascii="Verdana" w:hAnsi="Verdana"/>
          <w:b w:val="0"/>
          <w:bCs/>
          <w:sz w:val="21"/>
          <w:szCs w:val="21"/>
        </w:rPr>
        <w:t xml:space="preserve"> at The Boxing Academy and will either be reintegrated </w:t>
      </w:r>
      <w:proofErr w:type="gramStart"/>
      <w:r w:rsidR="000111D7" w:rsidRPr="00812EBC">
        <w:rPr>
          <w:rFonts w:ascii="Verdana" w:hAnsi="Verdana"/>
          <w:b w:val="0"/>
          <w:bCs/>
          <w:sz w:val="21"/>
          <w:szCs w:val="21"/>
        </w:rPr>
        <w:t>successfully, or</w:t>
      </w:r>
      <w:proofErr w:type="gramEnd"/>
      <w:r w:rsidR="000111D7" w:rsidRPr="00812EBC">
        <w:rPr>
          <w:rFonts w:ascii="Verdana" w:hAnsi="Verdana"/>
          <w:b w:val="0"/>
          <w:bCs/>
          <w:sz w:val="21"/>
          <w:szCs w:val="21"/>
        </w:rPr>
        <w:t xml:space="preserve"> will remain with BA for a longer period of time and be receiving some services such as tuition or careers advice provided by the </w:t>
      </w:r>
      <w:r w:rsidR="00C36D74" w:rsidRPr="00812EBC">
        <w:rPr>
          <w:rFonts w:ascii="Verdana" w:hAnsi="Verdana"/>
          <w:b w:val="0"/>
          <w:bCs/>
          <w:sz w:val="21"/>
          <w:szCs w:val="21"/>
        </w:rPr>
        <w:t xml:space="preserve">parent </w:t>
      </w:r>
      <w:r w:rsidR="000111D7" w:rsidRPr="00812EBC">
        <w:rPr>
          <w:rFonts w:ascii="Verdana" w:hAnsi="Verdana"/>
          <w:b w:val="0"/>
          <w:bCs/>
          <w:sz w:val="21"/>
          <w:szCs w:val="21"/>
        </w:rPr>
        <w:t>school.</w:t>
      </w:r>
    </w:p>
    <w:p w14:paraId="4A930F07" w14:textId="723154A6" w:rsidR="00FC39E2" w:rsidRPr="00812EBC" w:rsidRDefault="00486661" w:rsidP="00BE570E">
      <w:pPr>
        <w:pStyle w:val="Heading3"/>
        <w:numPr>
          <w:ilvl w:val="1"/>
          <w:numId w:val="3"/>
        </w:numPr>
        <w:spacing w:after="120" w:line="276" w:lineRule="auto"/>
        <w:ind w:left="720" w:hanging="540"/>
        <w:rPr>
          <w:rFonts w:ascii="Verdana" w:hAnsi="Verdana"/>
          <w:b w:val="0"/>
          <w:bCs/>
          <w:sz w:val="21"/>
          <w:szCs w:val="21"/>
          <w:lang w:val="en-US"/>
        </w:rPr>
      </w:pPr>
      <w:r w:rsidRPr="00812EBC">
        <w:rPr>
          <w:rFonts w:ascii="Verdana" w:hAnsi="Verdana"/>
          <w:b w:val="0"/>
          <w:bCs/>
          <w:sz w:val="21"/>
          <w:szCs w:val="21"/>
          <w:lang w:val="en-US"/>
        </w:rPr>
        <w:t>The Boxing Academy will provide education for students under one of the following criteria:</w:t>
      </w:r>
    </w:p>
    <w:p w14:paraId="4ED51E7C" w14:textId="77777777" w:rsidR="00812EBC" w:rsidRDefault="00A35793" w:rsidP="00BE570E">
      <w:pPr>
        <w:pStyle w:val="ListParagraph"/>
        <w:numPr>
          <w:ilvl w:val="0"/>
          <w:numId w:val="11"/>
        </w:numPr>
        <w:tabs>
          <w:tab w:val="num" w:pos="360"/>
        </w:tabs>
        <w:spacing w:after="0" w:line="276" w:lineRule="auto"/>
        <w:ind w:left="1060" w:hanging="67"/>
        <w:rPr>
          <w:rFonts w:ascii="Verdana" w:hAnsi="Verdana"/>
          <w:bCs/>
          <w:sz w:val="21"/>
          <w:szCs w:val="21"/>
          <w:lang w:val="en-US"/>
        </w:rPr>
      </w:pPr>
      <w:r w:rsidRPr="00812EBC">
        <w:rPr>
          <w:rFonts w:ascii="Verdana" w:hAnsi="Verdana"/>
          <w:bCs/>
          <w:sz w:val="21"/>
          <w:szCs w:val="21"/>
          <w:lang w:val="en-US"/>
        </w:rPr>
        <w:t xml:space="preserve">Who are showing a level of disengagement from mainstream provision which </w:t>
      </w:r>
    </w:p>
    <w:p w14:paraId="1FC7E06F" w14:textId="3C884FBC" w:rsidR="00A35793" w:rsidRPr="00812EBC" w:rsidRDefault="00812EBC" w:rsidP="00BE570E">
      <w:pPr>
        <w:pStyle w:val="ListParagraph"/>
        <w:numPr>
          <w:ilvl w:val="0"/>
          <w:numId w:val="0"/>
        </w:numPr>
        <w:spacing w:after="0" w:line="276" w:lineRule="auto"/>
        <w:ind w:left="1060"/>
        <w:rPr>
          <w:rFonts w:ascii="Verdana" w:hAnsi="Verdana"/>
          <w:bCs/>
          <w:sz w:val="21"/>
          <w:szCs w:val="21"/>
          <w:lang w:val="en-US"/>
        </w:rPr>
      </w:pPr>
      <w:r>
        <w:rPr>
          <w:rFonts w:ascii="Verdana" w:hAnsi="Verdana"/>
          <w:bCs/>
          <w:sz w:val="21"/>
          <w:szCs w:val="21"/>
          <w:lang w:val="en-US"/>
        </w:rPr>
        <w:t xml:space="preserve">     </w:t>
      </w:r>
      <w:r w:rsidR="00A35793" w:rsidRPr="00812EBC">
        <w:rPr>
          <w:rFonts w:ascii="Verdana" w:hAnsi="Verdana"/>
          <w:bCs/>
          <w:sz w:val="21"/>
          <w:szCs w:val="21"/>
          <w:lang w:val="en-US"/>
        </w:rPr>
        <w:t>is</w:t>
      </w:r>
      <w:r w:rsidR="000111D7" w:rsidRPr="00812EBC">
        <w:rPr>
          <w:rFonts w:ascii="Verdana" w:hAnsi="Verdana"/>
          <w:bCs/>
          <w:sz w:val="21"/>
          <w:szCs w:val="21"/>
          <w:lang w:val="en-US"/>
        </w:rPr>
        <w:t xml:space="preserve"> </w:t>
      </w:r>
      <w:r w:rsidR="00A35793" w:rsidRPr="00812EBC">
        <w:rPr>
          <w:rFonts w:ascii="Verdana" w:hAnsi="Verdana"/>
          <w:bCs/>
          <w:sz w:val="21"/>
          <w:szCs w:val="21"/>
          <w:lang w:val="en-US"/>
        </w:rPr>
        <w:t xml:space="preserve">placing them at risk of </w:t>
      </w:r>
      <w:r w:rsidR="00DE37AD" w:rsidRPr="00812EBC">
        <w:rPr>
          <w:rFonts w:ascii="Verdana" w:hAnsi="Verdana"/>
          <w:bCs/>
          <w:sz w:val="21"/>
          <w:szCs w:val="21"/>
          <w:lang w:val="en-US"/>
        </w:rPr>
        <w:t xml:space="preserve">low attainment or </w:t>
      </w:r>
      <w:r w:rsidR="00A35793" w:rsidRPr="00812EBC">
        <w:rPr>
          <w:rFonts w:ascii="Verdana" w:hAnsi="Verdana"/>
          <w:bCs/>
          <w:sz w:val="21"/>
          <w:szCs w:val="21"/>
          <w:lang w:val="en-US"/>
        </w:rPr>
        <w:t>permanent exclusion</w:t>
      </w:r>
    </w:p>
    <w:p w14:paraId="51F9D6FE" w14:textId="77777777" w:rsidR="00A35793" w:rsidRPr="00812EBC" w:rsidRDefault="00A35793" w:rsidP="00BE570E">
      <w:pPr>
        <w:pStyle w:val="ListParagraph"/>
        <w:numPr>
          <w:ilvl w:val="0"/>
          <w:numId w:val="11"/>
        </w:numPr>
        <w:tabs>
          <w:tab w:val="num" w:pos="360"/>
        </w:tabs>
        <w:spacing w:after="0" w:line="276" w:lineRule="auto"/>
        <w:ind w:left="1060" w:hanging="67"/>
        <w:rPr>
          <w:rFonts w:ascii="Verdana" w:hAnsi="Verdana"/>
          <w:bCs/>
          <w:sz w:val="21"/>
          <w:szCs w:val="21"/>
          <w:lang w:val="en-US"/>
        </w:rPr>
      </w:pPr>
      <w:r w:rsidRPr="00812EBC">
        <w:rPr>
          <w:rFonts w:ascii="Verdana" w:hAnsi="Verdana"/>
          <w:bCs/>
          <w:sz w:val="21"/>
          <w:szCs w:val="21"/>
          <w:lang w:val="en-US"/>
        </w:rPr>
        <w:t>Who have been permanently excluded from mainstream provision OR</w:t>
      </w:r>
    </w:p>
    <w:p w14:paraId="23EBDE13" w14:textId="7BB98863" w:rsidR="00B6786A" w:rsidRPr="00812EBC" w:rsidRDefault="00A35793" w:rsidP="00BE570E">
      <w:pPr>
        <w:pStyle w:val="ListParagraph"/>
        <w:numPr>
          <w:ilvl w:val="0"/>
          <w:numId w:val="11"/>
        </w:numPr>
        <w:tabs>
          <w:tab w:val="num" w:pos="360"/>
        </w:tabs>
        <w:spacing w:after="0" w:line="276" w:lineRule="auto"/>
        <w:ind w:left="1060" w:hanging="67"/>
        <w:rPr>
          <w:rFonts w:ascii="Verdana" w:hAnsi="Verdana"/>
          <w:bCs/>
          <w:sz w:val="21"/>
          <w:szCs w:val="21"/>
          <w:lang w:val="en-US"/>
        </w:rPr>
      </w:pPr>
      <w:r w:rsidRPr="00812EBC">
        <w:rPr>
          <w:rFonts w:ascii="Verdana" w:hAnsi="Verdana"/>
          <w:bCs/>
          <w:sz w:val="21"/>
          <w:szCs w:val="21"/>
          <w:lang w:val="en-US"/>
        </w:rPr>
        <w:t xml:space="preserve">Who do not have a school place </w:t>
      </w:r>
    </w:p>
    <w:p w14:paraId="59834EC0" w14:textId="77777777" w:rsidR="00C36D74" w:rsidRPr="00812EBC" w:rsidRDefault="00C36D74" w:rsidP="00BE570E">
      <w:pPr>
        <w:pStyle w:val="ListParagraph"/>
        <w:numPr>
          <w:ilvl w:val="0"/>
          <w:numId w:val="0"/>
        </w:numPr>
        <w:spacing w:after="0" w:line="276" w:lineRule="auto"/>
        <w:ind w:left="1060"/>
        <w:rPr>
          <w:rFonts w:ascii="Verdana" w:hAnsi="Verdana"/>
          <w:bCs/>
          <w:sz w:val="21"/>
          <w:szCs w:val="21"/>
          <w:lang w:val="en-US"/>
        </w:rPr>
      </w:pPr>
    </w:p>
    <w:p w14:paraId="04D39CE9" w14:textId="04879A4F" w:rsidR="000569BC" w:rsidRPr="00812EBC" w:rsidRDefault="000569BC" w:rsidP="00BE570E">
      <w:pPr>
        <w:pStyle w:val="ListParagraph"/>
        <w:numPr>
          <w:ilvl w:val="1"/>
          <w:numId w:val="3"/>
        </w:numPr>
        <w:spacing w:after="120" w:line="276" w:lineRule="auto"/>
        <w:ind w:left="720" w:hanging="540"/>
        <w:rPr>
          <w:rFonts w:ascii="Verdana" w:hAnsi="Verdana"/>
          <w:bCs/>
          <w:sz w:val="21"/>
          <w:szCs w:val="21"/>
          <w:lang w:val="en-US"/>
        </w:rPr>
      </w:pPr>
      <w:r w:rsidRPr="00812EBC">
        <w:rPr>
          <w:rFonts w:ascii="Verdana" w:hAnsi="Verdana"/>
          <w:bCs/>
          <w:sz w:val="21"/>
          <w:szCs w:val="21"/>
        </w:rPr>
        <w:t>Successful referrals to the Boxing Academy are most likely where the following conditions are</w:t>
      </w:r>
      <w:r w:rsidR="00B6786A" w:rsidRPr="00812EBC">
        <w:rPr>
          <w:rFonts w:ascii="Verdana" w:hAnsi="Verdana"/>
          <w:bCs/>
          <w:sz w:val="21"/>
          <w:szCs w:val="21"/>
        </w:rPr>
        <w:t xml:space="preserve"> met</w:t>
      </w:r>
      <w:r w:rsidRPr="00812EBC">
        <w:rPr>
          <w:rFonts w:ascii="Verdana" w:hAnsi="Verdana"/>
          <w:bCs/>
          <w:sz w:val="21"/>
          <w:szCs w:val="21"/>
        </w:rPr>
        <w:t>:</w:t>
      </w:r>
    </w:p>
    <w:p w14:paraId="5B8EE677" w14:textId="77777777" w:rsidR="000569BC" w:rsidRPr="00812EBC" w:rsidRDefault="000569BC" w:rsidP="00BE570E">
      <w:pPr>
        <w:numPr>
          <w:ilvl w:val="0"/>
          <w:numId w:val="5"/>
        </w:numPr>
        <w:spacing w:line="276" w:lineRule="auto"/>
        <w:ind w:left="1077" w:hanging="357"/>
        <w:jc w:val="both"/>
        <w:rPr>
          <w:rFonts w:ascii="Verdana" w:hAnsi="Verdana"/>
          <w:sz w:val="21"/>
          <w:szCs w:val="21"/>
        </w:rPr>
      </w:pPr>
      <w:r w:rsidRPr="00812EBC">
        <w:rPr>
          <w:rFonts w:ascii="Verdana" w:hAnsi="Verdana"/>
          <w:sz w:val="21"/>
          <w:szCs w:val="21"/>
        </w:rPr>
        <w:t>That full time mainstream provision is not deemed appropriate</w:t>
      </w:r>
    </w:p>
    <w:p w14:paraId="048DDAE8" w14:textId="5FCF8C19" w:rsidR="000569BC" w:rsidRPr="00812EBC" w:rsidRDefault="000569BC" w:rsidP="00BE570E">
      <w:pPr>
        <w:numPr>
          <w:ilvl w:val="0"/>
          <w:numId w:val="5"/>
        </w:numPr>
        <w:spacing w:line="276" w:lineRule="auto"/>
        <w:ind w:left="1077" w:hanging="357"/>
        <w:jc w:val="both"/>
        <w:rPr>
          <w:rFonts w:ascii="Verdana" w:hAnsi="Verdana"/>
          <w:sz w:val="21"/>
          <w:szCs w:val="21"/>
        </w:rPr>
      </w:pPr>
      <w:r w:rsidRPr="00812EBC">
        <w:rPr>
          <w:rFonts w:ascii="Verdana" w:hAnsi="Verdana"/>
          <w:sz w:val="21"/>
          <w:szCs w:val="21"/>
        </w:rPr>
        <w:t>That there is a clear need for the structure, regime, routine and consistency of the Boxing Academy</w:t>
      </w:r>
    </w:p>
    <w:p w14:paraId="5113B179" w14:textId="77777777" w:rsidR="000569BC" w:rsidRPr="00812EBC" w:rsidRDefault="000569BC" w:rsidP="00BE570E">
      <w:pPr>
        <w:numPr>
          <w:ilvl w:val="0"/>
          <w:numId w:val="5"/>
        </w:numPr>
        <w:spacing w:line="276" w:lineRule="auto"/>
        <w:ind w:left="1077" w:hanging="357"/>
        <w:jc w:val="both"/>
        <w:rPr>
          <w:rFonts w:ascii="Verdana" w:hAnsi="Verdana"/>
          <w:sz w:val="21"/>
          <w:szCs w:val="21"/>
        </w:rPr>
      </w:pPr>
      <w:r w:rsidRPr="00812EBC">
        <w:rPr>
          <w:rFonts w:ascii="Verdana" w:hAnsi="Verdana"/>
          <w:sz w:val="21"/>
          <w:szCs w:val="21"/>
        </w:rPr>
        <w:t>That full background details are made available from the placing authority</w:t>
      </w:r>
    </w:p>
    <w:p w14:paraId="3FEE3EC0" w14:textId="53AAA1D8" w:rsidR="00C16FD2" w:rsidRPr="00C76BBB" w:rsidRDefault="000569BC" w:rsidP="00BE570E">
      <w:pPr>
        <w:numPr>
          <w:ilvl w:val="0"/>
          <w:numId w:val="5"/>
        </w:numPr>
        <w:spacing w:line="276" w:lineRule="auto"/>
        <w:ind w:left="1077" w:hanging="357"/>
        <w:jc w:val="both"/>
        <w:rPr>
          <w:rFonts w:ascii="Verdana" w:hAnsi="Verdana"/>
          <w:sz w:val="21"/>
          <w:szCs w:val="21"/>
        </w:rPr>
      </w:pPr>
      <w:r w:rsidRPr="00812EBC">
        <w:rPr>
          <w:rFonts w:ascii="Verdana" w:hAnsi="Verdana"/>
          <w:sz w:val="21"/>
          <w:szCs w:val="21"/>
        </w:rPr>
        <w:t>That support available to the young person from other agencies prior to placement continues</w:t>
      </w:r>
    </w:p>
    <w:p w14:paraId="31EA2FC8" w14:textId="77777777" w:rsidR="00C16FD2" w:rsidRPr="00C16FD2" w:rsidRDefault="00C16FD2" w:rsidP="00BE570E">
      <w:pPr>
        <w:spacing w:line="276" w:lineRule="auto"/>
        <w:jc w:val="both"/>
        <w:rPr>
          <w:rFonts w:ascii="Verdana" w:hAnsi="Verdana"/>
          <w:sz w:val="21"/>
          <w:szCs w:val="21"/>
        </w:rPr>
      </w:pPr>
    </w:p>
    <w:p w14:paraId="2CC25E34" w14:textId="7845B4D0" w:rsidR="00E01B09" w:rsidRPr="00D133BF" w:rsidRDefault="00E01B09" w:rsidP="00BE570E">
      <w:pPr>
        <w:pStyle w:val="ListParagraph"/>
        <w:numPr>
          <w:ilvl w:val="0"/>
          <w:numId w:val="3"/>
        </w:numPr>
        <w:spacing w:after="120" w:line="276" w:lineRule="auto"/>
        <w:rPr>
          <w:rFonts w:ascii="Verdana" w:hAnsi="Verdana"/>
          <w:b/>
          <w:color w:val="000000" w:themeColor="text1"/>
          <w:sz w:val="21"/>
          <w:szCs w:val="21"/>
          <w:lang w:val="en-US"/>
        </w:rPr>
      </w:pPr>
      <w:r w:rsidRPr="00D133BF">
        <w:rPr>
          <w:rFonts w:ascii="Verdana" w:hAnsi="Verdana"/>
          <w:b/>
          <w:color w:val="000000" w:themeColor="text1"/>
          <w:sz w:val="21"/>
          <w:szCs w:val="21"/>
          <w:lang w:val="en-US"/>
        </w:rPr>
        <w:t>Admission numbers</w:t>
      </w:r>
      <w:r w:rsidR="00B84AEE" w:rsidRPr="00D133BF">
        <w:rPr>
          <w:rFonts w:ascii="Verdana" w:hAnsi="Verdana"/>
          <w:b/>
          <w:color w:val="000000" w:themeColor="text1"/>
          <w:sz w:val="21"/>
          <w:szCs w:val="21"/>
          <w:lang w:val="en-US"/>
        </w:rPr>
        <w:t xml:space="preserve">   </w:t>
      </w:r>
    </w:p>
    <w:p w14:paraId="79519B58" w14:textId="5729BE72" w:rsidR="002C43AA" w:rsidRPr="00812EBC" w:rsidRDefault="002C43AA" w:rsidP="00BE570E">
      <w:pPr>
        <w:pStyle w:val="ListParagraph"/>
        <w:numPr>
          <w:ilvl w:val="1"/>
          <w:numId w:val="3"/>
        </w:numPr>
        <w:spacing w:after="120" w:line="276" w:lineRule="auto"/>
        <w:ind w:left="630" w:hanging="540"/>
        <w:rPr>
          <w:rFonts w:ascii="Verdana" w:hAnsi="Verdana"/>
          <w:b/>
          <w:color w:val="FF0000"/>
          <w:sz w:val="21"/>
          <w:szCs w:val="21"/>
          <w:u w:val="single"/>
          <w:lang w:val="en-US"/>
        </w:rPr>
      </w:pPr>
      <w:r w:rsidRPr="00812EBC">
        <w:rPr>
          <w:rFonts w:ascii="Verdana" w:hAnsi="Verdana"/>
          <w:sz w:val="21"/>
          <w:szCs w:val="21"/>
        </w:rPr>
        <w:t xml:space="preserve">The Boxing Academy has capacity for </w:t>
      </w:r>
      <w:r w:rsidR="00C16FD2">
        <w:rPr>
          <w:rFonts w:ascii="Verdana" w:hAnsi="Verdana"/>
          <w:sz w:val="21"/>
          <w:szCs w:val="21"/>
        </w:rPr>
        <w:t>4</w:t>
      </w:r>
      <w:r w:rsidR="00D97BB3">
        <w:rPr>
          <w:rFonts w:ascii="Verdana" w:hAnsi="Verdana"/>
          <w:sz w:val="21"/>
          <w:szCs w:val="21"/>
        </w:rPr>
        <w:t>8</w:t>
      </w:r>
      <w:r w:rsidRPr="00812EBC">
        <w:rPr>
          <w:rFonts w:ascii="Verdana" w:hAnsi="Verdana"/>
          <w:sz w:val="21"/>
          <w:szCs w:val="21"/>
        </w:rPr>
        <w:t xml:space="preserve"> students in the age range 1</w:t>
      </w:r>
      <w:r w:rsidR="00C76BBB">
        <w:rPr>
          <w:rFonts w:ascii="Verdana" w:hAnsi="Verdana"/>
          <w:sz w:val="21"/>
          <w:szCs w:val="21"/>
        </w:rPr>
        <w:t>2</w:t>
      </w:r>
      <w:r w:rsidRPr="00812EBC">
        <w:rPr>
          <w:rFonts w:ascii="Verdana" w:hAnsi="Verdana"/>
          <w:sz w:val="21"/>
          <w:szCs w:val="21"/>
        </w:rPr>
        <w:t>-16.</w:t>
      </w:r>
    </w:p>
    <w:p w14:paraId="326EFB70" w14:textId="763CFED9" w:rsidR="002C43AA" w:rsidRPr="00812EBC" w:rsidRDefault="002C43AA" w:rsidP="00BE570E">
      <w:pPr>
        <w:pStyle w:val="Default"/>
        <w:numPr>
          <w:ilvl w:val="1"/>
          <w:numId w:val="3"/>
        </w:numPr>
        <w:spacing w:after="120" w:line="276" w:lineRule="auto"/>
        <w:ind w:left="630" w:hanging="540"/>
        <w:rPr>
          <w:rFonts w:ascii="Verdana" w:hAnsi="Verdana"/>
          <w:sz w:val="21"/>
          <w:szCs w:val="21"/>
        </w:rPr>
      </w:pPr>
      <w:r w:rsidRPr="00812EBC">
        <w:rPr>
          <w:rFonts w:ascii="Verdana" w:hAnsi="Verdana"/>
          <w:sz w:val="21"/>
          <w:szCs w:val="21"/>
        </w:rPr>
        <w:t xml:space="preserve">The entry point for students is during an induction period </w:t>
      </w:r>
      <w:r w:rsidR="00C76BBB">
        <w:rPr>
          <w:rFonts w:ascii="Verdana" w:hAnsi="Verdana"/>
          <w:sz w:val="21"/>
          <w:szCs w:val="21"/>
        </w:rPr>
        <w:t xml:space="preserve">anytime in KS3 or Year 10 </w:t>
      </w:r>
      <w:r w:rsidR="00C76BBB">
        <w:rPr>
          <w:rFonts w:ascii="Verdana" w:hAnsi="Verdana"/>
          <w:sz w:val="21"/>
          <w:szCs w:val="21"/>
        </w:rPr>
        <w:lastRenderedPageBreak/>
        <w:t>of KS4</w:t>
      </w:r>
      <w:r w:rsidR="00D133BF">
        <w:rPr>
          <w:rFonts w:ascii="Verdana" w:hAnsi="Verdana"/>
          <w:sz w:val="21"/>
          <w:szCs w:val="21"/>
        </w:rPr>
        <w:t>.</w:t>
      </w:r>
      <w:r w:rsidRPr="00812EBC">
        <w:rPr>
          <w:rFonts w:ascii="Verdana" w:hAnsi="Verdana"/>
          <w:sz w:val="21"/>
          <w:szCs w:val="21"/>
        </w:rPr>
        <w:t xml:space="preserve">  </w:t>
      </w:r>
      <w:r w:rsidR="005864A8" w:rsidRPr="00812EBC">
        <w:rPr>
          <w:rFonts w:ascii="Verdana" w:hAnsi="Verdana"/>
          <w:sz w:val="21"/>
          <w:szCs w:val="21"/>
        </w:rPr>
        <w:t>The Boxing Academy does not normally admit students after the autumn term of Year 11.</w:t>
      </w:r>
    </w:p>
    <w:p w14:paraId="372BBC88" w14:textId="071B7436" w:rsidR="00F56A0F" w:rsidRPr="00C76BBB" w:rsidRDefault="00FC39E2" w:rsidP="00C76BBB">
      <w:pPr>
        <w:pStyle w:val="Default"/>
        <w:numPr>
          <w:ilvl w:val="1"/>
          <w:numId w:val="3"/>
        </w:numPr>
        <w:spacing w:after="120" w:line="276" w:lineRule="auto"/>
        <w:ind w:left="630" w:hanging="540"/>
        <w:rPr>
          <w:rFonts w:ascii="Verdana" w:hAnsi="Verdana"/>
          <w:sz w:val="21"/>
          <w:szCs w:val="21"/>
        </w:rPr>
      </w:pPr>
      <w:r w:rsidRPr="00812EBC">
        <w:rPr>
          <w:rFonts w:ascii="Verdana" w:hAnsi="Verdana"/>
          <w:sz w:val="21"/>
          <w:szCs w:val="21"/>
        </w:rPr>
        <w:t>The aim of the Boxing Academy is to facilitate the re-engagement of its students into mainstream education</w:t>
      </w:r>
      <w:r w:rsidR="00B84AEE" w:rsidRPr="00812EBC">
        <w:rPr>
          <w:rFonts w:ascii="Verdana" w:hAnsi="Verdana"/>
          <w:sz w:val="21"/>
          <w:szCs w:val="21"/>
        </w:rPr>
        <w:t xml:space="preserve">. This </w:t>
      </w:r>
      <w:r w:rsidR="002C43AA" w:rsidRPr="00812EBC">
        <w:rPr>
          <w:rFonts w:ascii="Verdana" w:hAnsi="Verdana"/>
          <w:sz w:val="21"/>
          <w:szCs w:val="21"/>
        </w:rPr>
        <w:t>might occur during the KS4 period or afterwards</w:t>
      </w:r>
      <w:r w:rsidR="00D97BB3">
        <w:rPr>
          <w:rFonts w:ascii="Verdana" w:hAnsi="Verdana"/>
          <w:sz w:val="21"/>
          <w:szCs w:val="21"/>
        </w:rPr>
        <w:t>,</w:t>
      </w:r>
      <w:r w:rsidRPr="00812EBC">
        <w:rPr>
          <w:rFonts w:ascii="Verdana" w:hAnsi="Verdana"/>
          <w:sz w:val="21"/>
          <w:szCs w:val="21"/>
        </w:rPr>
        <w:t xml:space="preserve"> post-16.</w:t>
      </w:r>
    </w:p>
    <w:p w14:paraId="4D9A8FCB" w14:textId="780936AB" w:rsidR="00B84AEE" w:rsidRPr="00812EBC" w:rsidRDefault="00360EB8" w:rsidP="00BE570E">
      <w:pPr>
        <w:pStyle w:val="ListParagraph"/>
        <w:numPr>
          <w:ilvl w:val="0"/>
          <w:numId w:val="3"/>
        </w:numPr>
        <w:spacing w:after="120" w:line="276" w:lineRule="auto"/>
        <w:rPr>
          <w:rFonts w:ascii="Verdana" w:hAnsi="Verdana"/>
          <w:b/>
          <w:bCs/>
          <w:color w:val="000000" w:themeColor="text1"/>
          <w:sz w:val="21"/>
          <w:szCs w:val="21"/>
          <w:lang w:val="en-US"/>
        </w:rPr>
      </w:pPr>
      <w:r w:rsidRPr="00812EBC">
        <w:rPr>
          <w:rFonts w:ascii="Verdana" w:hAnsi="Verdana"/>
          <w:b/>
          <w:bCs/>
          <w:color w:val="000000" w:themeColor="text1"/>
          <w:sz w:val="21"/>
          <w:szCs w:val="21"/>
          <w:lang w:val="en-US"/>
        </w:rPr>
        <w:t>Commissioners</w:t>
      </w:r>
    </w:p>
    <w:p w14:paraId="56B21DFF" w14:textId="06843CC9" w:rsidR="00761C16" w:rsidRPr="00812EBC" w:rsidRDefault="00CB5740" w:rsidP="00BE570E">
      <w:pPr>
        <w:pStyle w:val="ListParagraph"/>
        <w:numPr>
          <w:ilvl w:val="1"/>
          <w:numId w:val="3"/>
        </w:numPr>
        <w:spacing w:after="120" w:line="276" w:lineRule="auto"/>
        <w:ind w:left="630" w:hanging="540"/>
        <w:rPr>
          <w:rFonts w:ascii="Verdana" w:hAnsi="Verdana"/>
          <w:sz w:val="21"/>
          <w:szCs w:val="21"/>
          <w:lang w:val="en-US"/>
        </w:rPr>
      </w:pPr>
      <w:r w:rsidRPr="00812EBC">
        <w:rPr>
          <w:rFonts w:ascii="Verdana" w:hAnsi="Verdana"/>
          <w:sz w:val="21"/>
          <w:szCs w:val="21"/>
          <w:lang w:val="en-US"/>
        </w:rPr>
        <w:t>To acquire a place at The Boxing Acad</w:t>
      </w:r>
      <w:r w:rsidR="00B84AEE" w:rsidRPr="00812EBC">
        <w:rPr>
          <w:rFonts w:ascii="Verdana" w:hAnsi="Verdana"/>
          <w:sz w:val="21"/>
          <w:szCs w:val="21"/>
          <w:lang w:val="en-US"/>
        </w:rPr>
        <w:t xml:space="preserve">emy, </w:t>
      </w:r>
      <w:r w:rsidR="00CA4CF6" w:rsidRPr="00812EBC">
        <w:rPr>
          <w:rFonts w:ascii="Verdana" w:hAnsi="Verdana"/>
          <w:sz w:val="21"/>
          <w:szCs w:val="21"/>
          <w:lang w:val="en-US"/>
        </w:rPr>
        <w:t>students</w:t>
      </w:r>
      <w:r w:rsidR="00B84AEE" w:rsidRPr="00812EBC">
        <w:rPr>
          <w:rFonts w:ascii="Verdana" w:hAnsi="Verdana"/>
          <w:sz w:val="21"/>
          <w:szCs w:val="21"/>
          <w:lang w:val="en-US"/>
        </w:rPr>
        <w:t xml:space="preserve"> in KS3 and KS4 </w:t>
      </w:r>
      <w:r w:rsidRPr="00812EBC">
        <w:rPr>
          <w:rFonts w:ascii="Verdana" w:hAnsi="Verdana"/>
          <w:sz w:val="21"/>
          <w:szCs w:val="21"/>
          <w:lang w:val="en-US"/>
        </w:rPr>
        <w:t xml:space="preserve">have to be referred by an educational establishment or local authority (commissioners). </w:t>
      </w:r>
    </w:p>
    <w:p w14:paraId="08341975" w14:textId="061BE307" w:rsidR="00761C16" w:rsidRPr="00812EBC" w:rsidRDefault="000569BC" w:rsidP="00BE570E">
      <w:pPr>
        <w:pStyle w:val="ListParagraph"/>
        <w:numPr>
          <w:ilvl w:val="1"/>
          <w:numId w:val="3"/>
        </w:numPr>
        <w:spacing w:after="120" w:line="276" w:lineRule="auto"/>
        <w:ind w:left="630" w:hanging="540"/>
        <w:rPr>
          <w:rFonts w:ascii="Verdana" w:hAnsi="Verdana"/>
          <w:sz w:val="21"/>
          <w:szCs w:val="21"/>
        </w:rPr>
      </w:pPr>
      <w:r w:rsidRPr="00812EBC">
        <w:rPr>
          <w:rFonts w:ascii="Verdana" w:hAnsi="Verdana"/>
          <w:sz w:val="21"/>
          <w:szCs w:val="21"/>
        </w:rPr>
        <w:t xml:space="preserve">Referrals for individual support </w:t>
      </w:r>
      <w:r w:rsidR="00761C16" w:rsidRPr="00812EBC">
        <w:rPr>
          <w:rFonts w:ascii="Verdana" w:hAnsi="Verdana"/>
          <w:sz w:val="21"/>
          <w:szCs w:val="21"/>
        </w:rPr>
        <w:t>will only be</w:t>
      </w:r>
      <w:r w:rsidRPr="00812EBC">
        <w:rPr>
          <w:rFonts w:ascii="Verdana" w:hAnsi="Verdana"/>
          <w:sz w:val="21"/>
          <w:szCs w:val="21"/>
        </w:rPr>
        <w:t xml:space="preserve"> accepted using the official Boxing Academy referral form and must be with the full consent of parents or carers.</w:t>
      </w:r>
      <w:r w:rsidR="00B84AEE" w:rsidRPr="00812EBC">
        <w:rPr>
          <w:rFonts w:ascii="Verdana" w:hAnsi="Verdana"/>
          <w:sz w:val="21"/>
          <w:szCs w:val="21"/>
        </w:rPr>
        <w:t xml:space="preserve"> </w:t>
      </w:r>
    </w:p>
    <w:p w14:paraId="04465AEB" w14:textId="77777777" w:rsidR="00B562E2" w:rsidRDefault="00B84AEE" w:rsidP="00BE570E">
      <w:pPr>
        <w:pStyle w:val="ListParagraph"/>
        <w:numPr>
          <w:ilvl w:val="1"/>
          <w:numId w:val="3"/>
        </w:numPr>
        <w:spacing w:after="120" w:line="276" w:lineRule="auto"/>
        <w:ind w:left="630" w:hanging="540"/>
        <w:rPr>
          <w:rFonts w:ascii="Verdana" w:hAnsi="Verdana"/>
          <w:color w:val="000000" w:themeColor="text1"/>
          <w:sz w:val="21"/>
          <w:szCs w:val="21"/>
          <w:lang w:val="en-US"/>
        </w:rPr>
      </w:pPr>
      <w:r w:rsidRPr="00812EBC">
        <w:rPr>
          <w:rFonts w:ascii="Verdana" w:hAnsi="Verdana"/>
          <w:color w:val="000000" w:themeColor="text1"/>
          <w:sz w:val="21"/>
          <w:szCs w:val="21"/>
          <w:lang w:val="en-US"/>
        </w:rPr>
        <w:t xml:space="preserve">The Boxing Academy cannot accept applications </w:t>
      </w:r>
      <w:r w:rsidR="00C76BBB">
        <w:rPr>
          <w:rFonts w:ascii="Verdana" w:hAnsi="Verdana"/>
          <w:color w:val="000000" w:themeColor="text1"/>
          <w:sz w:val="21"/>
          <w:szCs w:val="21"/>
          <w:lang w:val="en-US"/>
        </w:rPr>
        <w:t xml:space="preserve">direct </w:t>
      </w:r>
      <w:r w:rsidRPr="00812EBC">
        <w:rPr>
          <w:rFonts w:ascii="Verdana" w:hAnsi="Verdana"/>
          <w:color w:val="000000" w:themeColor="text1"/>
          <w:sz w:val="21"/>
          <w:szCs w:val="21"/>
          <w:lang w:val="en-US"/>
        </w:rPr>
        <w:t xml:space="preserve">from parents. </w:t>
      </w:r>
    </w:p>
    <w:p w14:paraId="530F4774" w14:textId="5AD289BF" w:rsidR="00C36D74" w:rsidRPr="00812EBC" w:rsidRDefault="00B562E2" w:rsidP="00BE570E">
      <w:pPr>
        <w:pStyle w:val="ListParagraph"/>
        <w:numPr>
          <w:ilvl w:val="1"/>
          <w:numId w:val="3"/>
        </w:numPr>
        <w:spacing w:after="120" w:line="276" w:lineRule="auto"/>
        <w:ind w:left="630" w:hanging="540"/>
        <w:rPr>
          <w:rFonts w:ascii="Verdana" w:hAnsi="Verdana"/>
          <w:color w:val="000000" w:themeColor="text1"/>
          <w:sz w:val="21"/>
          <w:szCs w:val="21"/>
          <w:lang w:val="en-US"/>
        </w:rPr>
      </w:pPr>
      <w:r>
        <w:rPr>
          <w:rFonts w:ascii="Verdana" w:hAnsi="Verdana"/>
          <w:color w:val="000000" w:themeColor="text1"/>
          <w:sz w:val="21"/>
          <w:szCs w:val="21"/>
          <w:lang w:val="en-US"/>
        </w:rPr>
        <w:t xml:space="preserve">SEN referrals must be confirmed at an annual review by the local authority that </w:t>
      </w:r>
      <w:r w:rsidR="00D97BB3">
        <w:rPr>
          <w:rFonts w:ascii="Verdana" w:hAnsi="Verdana"/>
          <w:color w:val="000000" w:themeColor="text1"/>
          <w:sz w:val="21"/>
          <w:szCs w:val="21"/>
          <w:lang w:val="en-US"/>
        </w:rPr>
        <w:t>hold</w:t>
      </w:r>
      <w:r>
        <w:rPr>
          <w:rFonts w:ascii="Verdana" w:hAnsi="Verdana"/>
          <w:color w:val="000000" w:themeColor="text1"/>
          <w:sz w:val="21"/>
          <w:szCs w:val="21"/>
          <w:lang w:val="en-US"/>
        </w:rPr>
        <w:t xml:space="preserve">s the EHCP. </w:t>
      </w:r>
    </w:p>
    <w:p w14:paraId="7FB0F34A" w14:textId="25A9F826" w:rsidR="00F56A0F" w:rsidRDefault="00C36D74" w:rsidP="00BE570E">
      <w:pPr>
        <w:pStyle w:val="ListParagraph"/>
        <w:numPr>
          <w:ilvl w:val="1"/>
          <w:numId w:val="3"/>
        </w:numPr>
        <w:spacing w:after="120" w:line="276" w:lineRule="auto"/>
        <w:ind w:left="630" w:hanging="540"/>
        <w:rPr>
          <w:rFonts w:ascii="Verdana" w:hAnsi="Verdana"/>
          <w:color w:val="000000" w:themeColor="text1"/>
          <w:sz w:val="21"/>
          <w:szCs w:val="21"/>
          <w:lang w:val="en-US"/>
        </w:rPr>
      </w:pPr>
      <w:r w:rsidRPr="00812EBC">
        <w:rPr>
          <w:rFonts w:ascii="Verdana" w:hAnsi="Verdana"/>
          <w:color w:val="000000" w:themeColor="text1"/>
          <w:sz w:val="21"/>
          <w:szCs w:val="21"/>
          <w:lang w:val="en-US"/>
        </w:rPr>
        <w:t>The Boxing Academy charges a top-up fee of £</w:t>
      </w:r>
      <w:r w:rsidR="00D97BB3">
        <w:rPr>
          <w:rFonts w:ascii="Verdana" w:hAnsi="Verdana"/>
          <w:color w:val="000000" w:themeColor="text1"/>
          <w:sz w:val="21"/>
          <w:szCs w:val="21"/>
          <w:lang w:val="en-US"/>
        </w:rPr>
        <w:t>13,000</w:t>
      </w:r>
      <w:r w:rsidRPr="00812EBC">
        <w:rPr>
          <w:rFonts w:ascii="Verdana" w:hAnsi="Verdana"/>
          <w:color w:val="000000" w:themeColor="text1"/>
          <w:sz w:val="21"/>
          <w:szCs w:val="21"/>
          <w:lang w:val="en-US"/>
        </w:rPr>
        <w:t xml:space="preserve"> per pupil, per academic year. </w:t>
      </w:r>
    </w:p>
    <w:p w14:paraId="4B9B8243" w14:textId="049E8614" w:rsidR="00B562E2" w:rsidRPr="00C76BBB" w:rsidRDefault="00B562E2" w:rsidP="00BE570E">
      <w:pPr>
        <w:pStyle w:val="ListParagraph"/>
        <w:numPr>
          <w:ilvl w:val="1"/>
          <w:numId w:val="3"/>
        </w:numPr>
        <w:spacing w:after="120" w:line="276" w:lineRule="auto"/>
        <w:ind w:left="630" w:hanging="540"/>
        <w:rPr>
          <w:rFonts w:ascii="Verdana" w:hAnsi="Verdana"/>
          <w:color w:val="000000" w:themeColor="text1"/>
          <w:sz w:val="21"/>
          <w:szCs w:val="21"/>
          <w:lang w:val="en-US"/>
        </w:rPr>
      </w:pPr>
      <w:r>
        <w:rPr>
          <w:rFonts w:ascii="Verdana" w:hAnsi="Verdana"/>
          <w:color w:val="000000" w:themeColor="text1"/>
          <w:sz w:val="21"/>
          <w:szCs w:val="21"/>
          <w:lang w:val="en-US"/>
        </w:rPr>
        <w:t xml:space="preserve">The Boxing Academy charges a top-up fee of at least £36,000 </w:t>
      </w:r>
      <w:r w:rsidRPr="00812EBC">
        <w:rPr>
          <w:rFonts w:ascii="Verdana" w:hAnsi="Verdana"/>
          <w:color w:val="000000" w:themeColor="text1"/>
          <w:sz w:val="21"/>
          <w:szCs w:val="21"/>
          <w:lang w:val="en-US"/>
        </w:rPr>
        <w:t>per pupil, per academic year</w:t>
      </w:r>
      <w:r>
        <w:rPr>
          <w:rFonts w:ascii="Verdana" w:hAnsi="Verdana"/>
          <w:color w:val="000000" w:themeColor="text1"/>
          <w:sz w:val="21"/>
          <w:szCs w:val="21"/>
          <w:lang w:val="en-US"/>
        </w:rPr>
        <w:t xml:space="preserve">, for EHCP pupils. </w:t>
      </w:r>
    </w:p>
    <w:p w14:paraId="51737EC0" w14:textId="08A24FBD" w:rsidR="00761C16" w:rsidRPr="00812EBC" w:rsidRDefault="00CB5740" w:rsidP="00BE570E">
      <w:pPr>
        <w:pStyle w:val="ListParagraph"/>
        <w:numPr>
          <w:ilvl w:val="0"/>
          <w:numId w:val="3"/>
        </w:numPr>
        <w:spacing w:after="120" w:line="276" w:lineRule="auto"/>
        <w:rPr>
          <w:rFonts w:ascii="Verdana" w:hAnsi="Verdana" w:cs="Arial"/>
          <w:b/>
          <w:bCs/>
          <w:sz w:val="21"/>
          <w:szCs w:val="21"/>
          <w:lang w:val="en-US"/>
        </w:rPr>
      </w:pPr>
      <w:r w:rsidRPr="00812EBC">
        <w:rPr>
          <w:rFonts w:ascii="Verdana" w:hAnsi="Verdana" w:cs="Arial"/>
          <w:b/>
          <w:bCs/>
          <w:sz w:val="21"/>
          <w:szCs w:val="21"/>
          <w:lang w:val="en-US"/>
        </w:rPr>
        <w:t>Referral Process</w:t>
      </w:r>
    </w:p>
    <w:p w14:paraId="14CD0284" w14:textId="67DE45BC" w:rsidR="00761C16" w:rsidRPr="00812EBC" w:rsidRDefault="00CB5740" w:rsidP="00BE570E">
      <w:pPr>
        <w:pStyle w:val="ListParagraph"/>
        <w:numPr>
          <w:ilvl w:val="1"/>
          <w:numId w:val="3"/>
        </w:numPr>
        <w:spacing w:after="120" w:line="276" w:lineRule="auto"/>
        <w:ind w:left="630" w:hanging="540"/>
        <w:rPr>
          <w:rFonts w:ascii="Verdana" w:hAnsi="Verdana" w:cs="Arial"/>
          <w:b/>
          <w:bCs/>
          <w:color w:val="000000" w:themeColor="text1"/>
          <w:sz w:val="21"/>
          <w:szCs w:val="21"/>
          <w:lang w:val="en-US"/>
        </w:rPr>
      </w:pPr>
      <w:r w:rsidRPr="00812EBC">
        <w:rPr>
          <w:rFonts w:ascii="Verdana" w:hAnsi="Verdana" w:cs="Arial"/>
          <w:bCs/>
          <w:sz w:val="21"/>
          <w:szCs w:val="21"/>
          <w:lang w:val="en-US"/>
        </w:rPr>
        <w:t xml:space="preserve">The </w:t>
      </w:r>
      <w:r w:rsidRPr="00812EBC">
        <w:rPr>
          <w:rFonts w:ascii="Verdana" w:hAnsi="Verdana" w:cs="Arial"/>
          <w:bCs/>
          <w:color w:val="000000" w:themeColor="text1"/>
          <w:sz w:val="21"/>
          <w:szCs w:val="21"/>
          <w:lang w:val="en-US"/>
        </w:rPr>
        <w:t xml:space="preserve">Boxing Academy’s Principal (or nominated representative) will maintain direct and regular contact with </w:t>
      </w:r>
      <w:r w:rsidR="000B15F8" w:rsidRPr="00812EBC">
        <w:rPr>
          <w:rFonts w:ascii="Verdana" w:hAnsi="Verdana" w:cs="Arial"/>
          <w:bCs/>
          <w:color w:val="000000" w:themeColor="text1"/>
          <w:sz w:val="21"/>
          <w:szCs w:val="21"/>
          <w:lang w:val="en-US"/>
        </w:rPr>
        <w:t xml:space="preserve">all </w:t>
      </w:r>
      <w:r w:rsidR="00360EB8" w:rsidRPr="00812EBC">
        <w:rPr>
          <w:rFonts w:ascii="Verdana" w:hAnsi="Verdana" w:cs="Arial"/>
          <w:bCs/>
          <w:color w:val="000000" w:themeColor="text1"/>
          <w:sz w:val="21"/>
          <w:szCs w:val="21"/>
          <w:lang w:val="en-US"/>
        </w:rPr>
        <w:t>commissioners</w:t>
      </w:r>
      <w:r w:rsidRPr="00812EBC">
        <w:rPr>
          <w:rFonts w:ascii="Verdana" w:hAnsi="Verdana" w:cs="Arial"/>
          <w:bCs/>
          <w:color w:val="000000" w:themeColor="text1"/>
          <w:sz w:val="21"/>
          <w:szCs w:val="21"/>
          <w:lang w:val="en-US"/>
        </w:rPr>
        <w:t>. Referrals can be made through</w:t>
      </w:r>
      <w:r w:rsidR="00733C48" w:rsidRPr="00812EBC">
        <w:rPr>
          <w:rFonts w:ascii="Verdana" w:hAnsi="Verdana" w:cs="Arial"/>
          <w:bCs/>
          <w:color w:val="000000" w:themeColor="text1"/>
          <w:sz w:val="21"/>
          <w:szCs w:val="21"/>
          <w:lang w:val="en-US"/>
        </w:rPr>
        <w:t xml:space="preserve"> </w:t>
      </w:r>
      <w:r w:rsidRPr="00812EBC">
        <w:rPr>
          <w:rFonts w:ascii="Verdana" w:hAnsi="Verdana" w:cs="Arial"/>
          <w:bCs/>
          <w:color w:val="000000" w:themeColor="text1"/>
          <w:sz w:val="21"/>
          <w:szCs w:val="21"/>
          <w:lang w:val="en-US"/>
        </w:rPr>
        <w:t xml:space="preserve">Fair Access Panel or other similar formal referral routes already in place in </w:t>
      </w:r>
      <w:r w:rsidR="002C43AA" w:rsidRPr="00812EBC">
        <w:rPr>
          <w:rFonts w:ascii="Verdana" w:hAnsi="Verdana" w:cs="Arial"/>
          <w:bCs/>
          <w:color w:val="000000" w:themeColor="text1"/>
          <w:sz w:val="21"/>
          <w:szCs w:val="21"/>
          <w:lang w:val="en-US"/>
        </w:rPr>
        <w:t xml:space="preserve">any </w:t>
      </w:r>
      <w:r w:rsidRPr="00812EBC">
        <w:rPr>
          <w:rFonts w:ascii="Verdana" w:hAnsi="Verdana" w:cs="Arial"/>
          <w:bCs/>
          <w:color w:val="000000" w:themeColor="text1"/>
          <w:sz w:val="21"/>
          <w:szCs w:val="21"/>
          <w:lang w:val="en-US"/>
        </w:rPr>
        <w:t>Local Authorities</w:t>
      </w:r>
      <w:r w:rsidR="000B15F8" w:rsidRPr="00812EBC">
        <w:rPr>
          <w:rFonts w:ascii="Verdana" w:hAnsi="Verdana" w:cs="Arial"/>
          <w:bCs/>
          <w:color w:val="000000" w:themeColor="text1"/>
          <w:sz w:val="21"/>
          <w:szCs w:val="21"/>
          <w:lang w:val="en-US"/>
        </w:rPr>
        <w:t xml:space="preserve"> in North and East London</w:t>
      </w:r>
      <w:r w:rsidR="002C43AA" w:rsidRPr="00812EBC">
        <w:rPr>
          <w:rFonts w:ascii="Verdana" w:hAnsi="Verdana" w:cs="Arial"/>
          <w:bCs/>
          <w:color w:val="000000" w:themeColor="text1"/>
          <w:sz w:val="21"/>
          <w:szCs w:val="21"/>
          <w:lang w:val="en-US"/>
        </w:rPr>
        <w:t>, or other areas that wish to be considered</w:t>
      </w:r>
      <w:r w:rsidRPr="00812EBC">
        <w:rPr>
          <w:rFonts w:ascii="Verdana" w:hAnsi="Verdana" w:cs="Arial"/>
          <w:bCs/>
          <w:color w:val="000000" w:themeColor="text1"/>
          <w:sz w:val="21"/>
          <w:szCs w:val="21"/>
          <w:lang w:val="en-US"/>
        </w:rPr>
        <w:t>. In addition, individual schools and academies can make direct referrals</w:t>
      </w:r>
      <w:r w:rsidR="0006179B" w:rsidRPr="00812EBC">
        <w:rPr>
          <w:rFonts w:ascii="Verdana" w:hAnsi="Verdana" w:cs="Arial"/>
          <w:bCs/>
          <w:color w:val="000000" w:themeColor="text1"/>
          <w:sz w:val="21"/>
          <w:szCs w:val="21"/>
          <w:lang w:val="en-US"/>
        </w:rPr>
        <w:t>. Both LAs and schools should use</w:t>
      </w:r>
      <w:r w:rsidR="00C23E59">
        <w:rPr>
          <w:rFonts w:ascii="Verdana" w:hAnsi="Verdana" w:cs="Arial"/>
          <w:bCs/>
          <w:color w:val="000000" w:themeColor="text1"/>
          <w:sz w:val="21"/>
          <w:szCs w:val="21"/>
          <w:lang w:val="en-US"/>
        </w:rPr>
        <w:t xml:space="preserve"> the referral form.</w:t>
      </w:r>
      <w:r w:rsidR="00B1761C" w:rsidRPr="00812EBC">
        <w:rPr>
          <w:rFonts w:ascii="Verdana" w:hAnsi="Verdana" w:cs="Arial"/>
          <w:bCs/>
          <w:color w:val="000000" w:themeColor="text1"/>
          <w:sz w:val="21"/>
          <w:szCs w:val="21"/>
          <w:lang w:val="en-US"/>
        </w:rPr>
        <w:t xml:space="preserve"> </w:t>
      </w:r>
    </w:p>
    <w:p w14:paraId="5788E434" w14:textId="64AD4BDE" w:rsidR="00812EBC" w:rsidRPr="00C76BBB" w:rsidRDefault="00B1761C" w:rsidP="00BE570E">
      <w:pPr>
        <w:pStyle w:val="ListParagraph"/>
        <w:numPr>
          <w:ilvl w:val="1"/>
          <w:numId w:val="3"/>
        </w:numPr>
        <w:spacing w:after="120" w:line="276" w:lineRule="auto"/>
        <w:ind w:left="630" w:hanging="540"/>
        <w:rPr>
          <w:rFonts w:ascii="Verdana" w:hAnsi="Verdana" w:cs="Arial"/>
          <w:b/>
          <w:bCs/>
          <w:sz w:val="21"/>
          <w:szCs w:val="21"/>
          <w:lang w:val="en-US"/>
        </w:rPr>
      </w:pPr>
      <w:r w:rsidRPr="00812EBC">
        <w:rPr>
          <w:rFonts w:ascii="Verdana" w:hAnsi="Verdana" w:cs="Arial"/>
          <w:bCs/>
          <w:color w:val="000000" w:themeColor="text1"/>
          <w:sz w:val="21"/>
          <w:szCs w:val="21"/>
          <w:lang w:val="en-US"/>
        </w:rPr>
        <w:t>Commissioners</w:t>
      </w:r>
      <w:r w:rsidR="000569BC" w:rsidRPr="00812EBC">
        <w:rPr>
          <w:rFonts w:ascii="Verdana" w:hAnsi="Verdana"/>
          <w:color w:val="000000" w:themeColor="text1"/>
          <w:sz w:val="21"/>
          <w:szCs w:val="21"/>
        </w:rPr>
        <w:t xml:space="preserve"> should identify the areas that are causing concern </w:t>
      </w:r>
      <w:r w:rsidRPr="00812EBC">
        <w:rPr>
          <w:rFonts w:ascii="Verdana" w:hAnsi="Verdana"/>
          <w:color w:val="000000" w:themeColor="text1"/>
          <w:sz w:val="21"/>
          <w:szCs w:val="21"/>
        </w:rPr>
        <w:t>and complete the r</w:t>
      </w:r>
      <w:r w:rsidR="005A70AE" w:rsidRPr="00812EBC">
        <w:rPr>
          <w:rFonts w:ascii="Verdana" w:hAnsi="Verdana"/>
          <w:color w:val="000000" w:themeColor="text1"/>
          <w:sz w:val="21"/>
          <w:szCs w:val="21"/>
        </w:rPr>
        <w:t xml:space="preserve">eferral form </w:t>
      </w:r>
      <w:r w:rsidR="00B84AEE" w:rsidRPr="00812EBC">
        <w:rPr>
          <w:rFonts w:ascii="Verdana" w:hAnsi="Verdana"/>
          <w:color w:val="000000" w:themeColor="text1"/>
          <w:sz w:val="21"/>
          <w:szCs w:val="21"/>
        </w:rPr>
        <w:t>with contact</w:t>
      </w:r>
      <w:r w:rsidR="005A70AE" w:rsidRPr="00812EBC">
        <w:rPr>
          <w:rFonts w:ascii="Verdana" w:hAnsi="Verdana"/>
          <w:color w:val="000000" w:themeColor="text1"/>
          <w:sz w:val="21"/>
          <w:szCs w:val="21"/>
        </w:rPr>
        <w:t xml:space="preserve"> details, parental information, details on FSM, high needs assessment, reasons for referral of student, attendance at previous school, previous interventions, external agency</w:t>
      </w:r>
      <w:r w:rsidR="005A70AE" w:rsidRPr="00812EBC">
        <w:rPr>
          <w:rFonts w:ascii="Verdana" w:hAnsi="Verdana"/>
          <w:sz w:val="21"/>
          <w:szCs w:val="21"/>
        </w:rPr>
        <w:t xml:space="preserve"> involvement, previous areas of study and current levels and risk assessment</w:t>
      </w:r>
      <w:r w:rsidRPr="00812EBC">
        <w:rPr>
          <w:rFonts w:ascii="Verdana" w:hAnsi="Verdana"/>
          <w:sz w:val="21"/>
          <w:szCs w:val="21"/>
        </w:rPr>
        <w:t xml:space="preserve">. </w:t>
      </w:r>
    </w:p>
    <w:p w14:paraId="35D7AA93" w14:textId="081F9A32" w:rsidR="00CB5740" w:rsidRPr="00812EBC" w:rsidRDefault="00CB5740" w:rsidP="00BE570E">
      <w:pPr>
        <w:pStyle w:val="Heading3"/>
        <w:numPr>
          <w:ilvl w:val="0"/>
          <w:numId w:val="3"/>
        </w:numPr>
        <w:spacing w:after="120" w:line="276" w:lineRule="auto"/>
        <w:rPr>
          <w:rFonts w:ascii="Verdana" w:hAnsi="Verdana"/>
          <w:sz w:val="21"/>
          <w:szCs w:val="21"/>
        </w:rPr>
      </w:pPr>
      <w:r w:rsidRPr="00812EBC">
        <w:rPr>
          <w:rFonts w:ascii="Verdana" w:hAnsi="Verdana"/>
          <w:sz w:val="21"/>
          <w:szCs w:val="21"/>
        </w:rPr>
        <w:t>Oversubscription criteria</w:t>
      </w:r>
    </w:p>
    <w:p w14:paraId="2DB7AC62" w14:textId="1D90CF7F" w:rsidR="00CB5740" w:rsidRPr="00C23E59" w:rsidRDefault="003F4CBD" w:rsidP="00BE570E">
      <w:pPr>
        <w:pStyle w:val="ListParagraph"/>
        <w:numPr>
          <w:ilvl w:val="1"/>
          <w:numId w:val="3"/>
        </w:numPr>
        <w:spacing w:after="120" w:line="276" w:lineRule="auto"/>
        <w:ind w:left="630" w:hanging="540"/>
        <w:rPr>
          <w:rFonts w:ascii="Verdana" w:hAnsi="Verdana"/>
          <w:sz w:val="21"/>
          <w:szCs w:val="21"/>
        </w:rPr>
      </w:pPr>
      <w:r w:rsidRPr="00812EBC">
        <w:rPr>
          <w:rFonts w:ascii="Verdana" w:hAnsi="Verdana" w:cs="Arial"/>
          <w:sz w:val="21"/>
          <w:szCs w:val="21"/>
          <w:lang w:val="en-US"/>
        </w:rPr>
        <w:t xml:space="preserve">The </w:t>
      </w:r>
      <w:proofErr w:type="gramStart"/>
      <w:r w:rsidRPr="00812EBC">
        <w:rPr>
          <w:rFonts w:ascii="Verdana" w:hAnsi="Verdana" w:cs="Arial"/>
          <w:sz w:val="21"/>
          <w:szCs w:val="21"/>
          <w:lang w:val="en-US"/>
        </w:rPr>
        <w:t>School</w:t>
      </w:r>
      <w:proofErr w:type="gramEnd"/>
      <w:r w:rsidRPr="00812EBC">
        <w:rPr>
          <w:rFonts w:ascii="Verdana" w:hAnsi="Verdana" w:cs="Arial"/>
          <w:sz w:val="21"/>
          <w:szCs w:val="21"/>
          <w:lang w:val="en-US"/>
        </w:rPr>
        <w:t xml:space="preserve"> will support a maximum of </w:t>
      </w:r>
      <w:r w:rsidR="00812EBC" w:rsidRPr="00812EBC">
        <w:rPr>
          <w:rFonts w:ascii="Verdana" w:hAnsi="Verdana" w:cs="Arial"/>
          <w:sz w:val="21"/>
          <w:szCs w:val="21"/>
          <w:lang w:val="en-US"/>
        </w:rPr>
        <w:t>4</w:t>
      </w:r>
      <w:r w:rsidR="00D97BB3">
        <w:rPr>
          <w:rFonts w:ascii="Verdana" w:hAnsi="Verdana" w:cs="Arial"/>
          <w:sz w:val="21"/>
          <w:szCs w:val="21"/>
          <w:lang w:val="en-US"/>
        </w:rPr>
        <w:t>8</w:t>
      </w:r>
      <w:r w:rsidR="00812EBC" w:rsidRPr="00812EBC">
        <w:rPr>
          <w:rFonts w:ascii="Verdana" w:hAnsi="Verdana" w:cs="Arial"/>
          <w:sz w:val="21"/>
          <w:szCs w:val="21"/>
          <w:lang w:val="en-US"/>
        </w:rPr>
        <w:t xml:space="preserve"> </w:t>
      </w:r>
      <w:r w:rsidR="00CA4CF6" w:rsidRPr="00812EBC">
        <w:rPr>
          <w:rFonts w:ascii="Verdana" w:hAnsi="Verdana" w:cs="Arial"/>
          <w:sz w:val="21"/>
          <w:szCs w:val="21"/>
          <w:lang w:val="en-US"/>
        </w:rPr>
        <w:t xml:space="preserve">full-time </w:t>
      </w:r>
      <w:r w:rsidRPr="00812EBC">
        <w:rPr>
          <w:rFonts w:ascii="Verdana" w:hAnsi="Verdana" w:cs="Arial"/>
          <w:sz w:val="21"/>
          <w:szCs w:val="21"/>
          <w:lang w:val="en-US"/>
        </w:rPr>
        <w:t>students aged 1</w:t>
      </w:r>
      <w:r w:rsidR="00C76BBB">
        <w:rPr>
          <w:rFonts w:ascii="Verdana" w:hAnsi="Verdana" w:cs="Arial"/>
          <w:sz w:val="21"/>
          <w:szCs w:val="21"/>
          <w:lang w:val="en-US"/>
        </w:rPr>
        <w:t>2</w:t>
      </w:r>
      <w:r w:rsidRPr="00812EBC">
        <w:rPr>
          <w:rFonts w:ascii="Verdana" w:hAnsi="Verdana" w:cs="Arial"/>
          <w:sz w:val="21"/>
          <w:szCs w:val="21"/>
          <w:lang w:val="en-US"/>
        </w:rPr>
        <w:t>-16 at any one time. If at any time referrals exceed the number of places available,</w:t>
      </w:r>
      <w:r w:rsidR="00CB5740" w:rsidRPr="00812EBC">
        <w:rPr>
          <w:rFonts w:ascii="Verdana" w:hAnsi="Verdana"/>
          <w:sz w:val="21"/>
          <w:szCs w:val="21"/>
        </w:rPr>
        <w:t xml:space="preserve"> </w:t>
      </w:r>
      <w:r w:rsidR="00CA4CF6" w:rsidRPr="00812EBC">
        <w:rPr>
          <w:rFonts w:ascii="Verdana" w:hAnsi="Verdana"/>
          <w:sz w:val="21"/>
          <w:szCs w:val="21"/>
        </w:rPr>
        <w:t xml:space="preserve">and after the admission of any student with an education health and care plan naming the </w:t>
      </w:r>
      <w:r w:rsidR="00D97BB3" w:rsidRPr="00812EBC">
        <w:rPr>
          <w:rFonts w:ascii="Verdana" w:hAnsi="Verdana"/>
          <w:sz w:val="21"/>
          <w:szCs w:val="21"/>
        </w:rPr>
        <w:t xml:space="preserve">school, </w:t>
      </w:r>
      <w:r w:rsidR="00D97BB3">
        <w:rPr>
          <w:rFonts w:ascii="Verdana" w:hAnsi="Verdana"/>
          <w:sz w:val="21"/>
          <w:szCs w:val="21"/>
        </w:rPr>
        <w:t>priority</w:t>
      </w:r>
      <w:r w:rsidR="00CB5740" w:rsidRPr="00C23E59">
        <w:rPr>
          <w:rFonts w:ascii="Verdana" w:hAnsi="Verdana"/>
          <w:sz w:val="21"/>
          <w:szCs w:val="21"/>
        </w:rPr>
        <w:t xml:space="preserve"> for admission will be given to those children who meet the criteria set out </w:t>
      </w:r>
      <w:r w:rsidR="00B363DA" w:rsidRPr="00C23E59">
        <w:rPr>
          <w:rFonts w:ascii="Verdana" w:hAnsi="Verdana"/>
          <w:sz w:val="21"/>
          <w:szCs w:val="21"/>
        </w:rPr>
        <w:t xml:space="preserve">        </w:t>
      </w:r>
      <w:r w:rsidR="00CB5740" w:rsidRPr="00C23E59">
        <w:rPr>
          <w:rFonts w:ascii="Verdana" w:hAnsi="Verdana"/>
          <w:sz w:val="21"/>
          <w:szCs w:val="21"/>
        </w:rPr>
        <w:t>below, in priority order:</w:t>
      </w:r>
    </w:p>
    <w:p w14:paraId="5BB40C1A" w14:textId="07406478" w:rsidR="00CB5740" w:rsidRPr="00812EBC" w:rsidRDefault="00CB5740" w:rsidP="00BE570E">
      <w:pPr>
        <w:pStyle w:val="ListParagraph"/>
        <w:numPr>
          <w:ilvl w:val="0"/>
          <w:numId w:val="2"/>
        </w:numPr>
        <w:spacing w:after="0" w:line="276" w:lineRule="auto"/>
        <w:ind w:left="1620"/>
        <w:rPr>
          <w:rFonts w:ascii="Verdana" w:hAnsi="Verdana" w:cs="Arial"/>
          <w:sz w:val="21"/>
          <w:szCs w:val="21"/>
          <w:lang w:val="en-US" w:eastAsia="en-US"/>
        </w:rPr>
      </w:pPr>
      <w:r w:rsidRPr="00812EBC">
        <w:rPr>
          <w:rFonts w:ascii="Verdana" w:hAnsi="Verdana" w:cs="Arial"/>
          <w:sz w:val="21"/>
          <w:szCs w:val="21"/>
          <w:lang w:val="en-US" w:eastAsia="en-US"/>
        </w:rPr>
        <w:t xml:space="preserve">Looked after children and </w:t>
      </w:r>
      <w:r w:rsidRPr="00812EBC">
        <w:rPr>
          <w:rFonts w:ascii="Verdana" w:hAnsi="Verdana"/>
          <w:sz w:val="21"/>
          <w:szCs w:val="21"/>
          <w:lang w:eastAsia="en-US"/>
        </w:rPr>
        <w:t xml:space="preserve">children who were previously looked after but immediately after being looked after became subject to adoption, a </w:t>
      </w:r>
      <w:r w:rsidRPr="00812EBC">
        <w:rPr>
          <w:rFonts w:ascii="Verdana" w:hAnsi="Verdana"/>
          <w:sz w:val="21"/>
          <w:szCs w:val="21"/>
          <w:lang w:val="en-US" w:eastAsia="en-US"/>
        </w:rPr>
        <w:t>child arrangements order</w:t>
      </w:r>
      <w:r w:rsidR="003F4CBD" w:rsidRPr="00812EBC">
        <w:rPr>
          <w:rFonts w:ascii="Verdana" w:hAnsi="Verdana"/>
          <w:sz w:val="21"/>
          <w:szCs w:val="21"/>
          <w:lang w:eastAsia="en-US"/>
        </w:rPr>
        <w:t xml:space="preserve">, or </w:t>
      </w:r>
      <w:r w:rsidRPr="00812EBC">
        <w:rPr>
          <w:rFonts w:ascii="Verdana" w:hAnsi="Verdana"/>
          <w:sz w:val="21"/>
          <w:szCs w:val="21"/>
          <w:lang w:eastAsia="en-US"/>
        </w:rPr>
        <w:t>special guardianship order.</w:t>
      </w:r>
    </w:p>
    <w:p w14:paraId="5430FC9A" w14:textId="76577C1B" w:rsidR="00CA4CF6" w:rsidRDefault="00CA4CF6" w:rsidP="00BE570E">
      <w:pPr>
        <w:pStyle w:val="ListParagraph"/>
        <w:numPr>
          <w:ilvl w:val="0"/>
          <w:numId w:val="2"/>
        </w:numPr>
        <w:spacing w:after="0" w:line="276" w:lineRule="auto"/>
        <w:ind w:left="1620"/>
        <w:rPr>
          <w:rFonts w:ascii="Verdana" w:hAnsi="Verdana" w:cs="Arial"/>
          <w:sz w:val="21"/>
          <w:szCs w:val="21"/>
          <w:lang w:val="en-US" w:eastAsia="en-US"/>
        </w:rPr>
      </w:pPr>
      <w:r w:rsidRPr="00812EBC">
        <w:rPr>
          <w:rFonts w:ascii="Verdana" w:hAnsi="Verdana" w:cs="Arial"/>
          <w:sz w:val="21"/>
          <w:szCs w:val="21"/>
          <w:lang w:val="en-US" w:eastAsia="en-US"/>
        </w:rPr>
        <w:t xml:space="preserve">Other children. </w:t>
      </w:r>
    </w:p>
    <w:p w14:paraId="6ADAB113" w14:textId="77777777" w:rsidR="005F44A9" w:rsidRPr="00812EBC" w:rsidRDefault="005F44A9" w:rsidP="00BE570E">
      <w:pPr>
        <w:pStyle w:val="ListParagraph"/>
        <w:numPr>
          <w:ilvl w:val="0"/>
          <w:numId w:val="0"/>
        </w:numPr>
        <w:spacing w:after="0" w:line="276" w:lineRule="auto"/>
        <w:ind w:left="630"/>
        <w:rPr>
          <w:rFonts w:ascii="Verdana" w:hAnsi="Verdana" w:cs="Arial"/>
          <w:sz w:val="21"/>
          <w:szCs w:val="21"/>
          <w:lang w:val="en-US" w:eastAsia="en-US"/>
        </w:rPr>
      </w:pPr>
    </w:p>
    <w:p w14:paraId="38BB432F" w14:textId="2B958AA4" w:rsidR="00B562E2" w:rsidRDefault="000A70EA" w:rsidP="00B562E2">
      <w:pPr>
        <w:spacing w:line="276" w:lineRule="auto"/>
        <w:ind w:left="900" w:hanging="540"/>
        <w:rPr>
          <w:rFonts w:ascii="Verdana" w:hAnsi="Verdana" w:cs="Arial"/>
          <w:sz w:val="21"/>
          <w:szCs w:val="21"/>
          <w:lang w:val="en-US"/>
        </w:rPr>
      </w:pPr>
      <w:r w:rsidRPr="00812EBC">
        <w:rPr>
          <w:rFonts w:ascii="Verdana" w:hAnsi="Verdana" w:cs="Arial"/>
          <w:sz w:val="21"/>
          <w:szCs w:val="21"/>
          <w:lang w:val="en-US"/>
        </w:rPr>
        <w:lastRenderedPageBreak/>
        <w:t xml:space="preserve">6.2 </w:t>
      </w:r>
      <w:r w:rsidR="005F44A9">
        <w:rPr>
          <w:rFonts w:ascii="Verdana" w:hAnsi="Verdana" w:cs="Arial"/>
          <w:sz w:val="21"/>
          <w:szCs w:val="21"/>
          <w:lang w:val="en-US"/>
        </w:rPr>
        <w:t xml:space="preserve">  </w:t>
      </w:r>
      <w:r w:rsidRPr="00812EBC">
        <w:rPr>
          <w:rFonts w:ascii="Verdana" w:hAnsi="Verdana" w:cs="Arial"/>
          <w:sz w:val="21"/>
          <w:szCs w:val="21"/>
          <w:lang w:val="en-US"/>
        </w:rPr>
        <w:t>If a tie-break is necessary to determine who is admitted</w:t>
      </w:r>
      <w:r w:rsidR="005F44A9">
        <w:rPr>
          <w:rFonts w:ascii="Verdana" w:hAnsi="Verdana" w:cs="Arial"/>
          <w:sz w:val="21"/>
          <w:szCs w:val="21"/>
          <w:lang w:val="en-US"/>
        </w:rPr>
        <w:t xml:space="preserve">, the place will be decided by </w:t>
      </w:r>
      <w:r w:rsidRPr="00812EBC">
        <w:rPr>
          <w:rFonts w:ascii="Verdana" w:hAnsi="Verdana" w:cs="Arial"/>
          <w:sz w:val="21"/>
          <w:szCs w:val="21"/>
          <w:lang w:val="en-US"/>
        </w:rPr>
        <w:t xml:space="preserve">consideration of distance </w:t>
      </w:r>
      <w:r w:rsidR="00B72FCF" w:rsidRPr="00812EBC">
        <w:rPr>
          <w:rFonts w:ascii="Verdana" w:hAnsi="Verdana" w:cs="Arial"/>
          <w:sz w:val="21"/>
          <w:szCs w:val="21"/>
          <w:lang w:val="en-US"/>
        </w:rPr>
        <w:t xml:space="preserve">of the child’s home (front door) </w:t>
      </w:r>
      <w:r w:rsidRPr="00812EBC">
        <w:rPr>
          <w:rFonts w:ascii="Verdana" w:hAnsi="Verdana" w:cs="Arial"/>
          <w:sz w:val="21"/>
          <w:szCs w:val="21"/>
          <w:lang w:val="en-US"/>
        </w:rPr>
        <w:t>from the school</w:t>
      </w:r>
      <w:r w:rsidR="00B72FCF" w:rsidRPr="00812EBC">
        <w:rPr>
          <w:rFonts w:ascii="Verdana" w:hAnsi="Verdana" w:cs="Arial"/>
          <w:sz w:val="21"/>
          <w:szCs w:val="21"/>
          <w:lang w:val="en-US"/>
        </w:rPr>
        <w:t xml:space="preserve"> (front gate)</w:t>
      </w:r>
      <w:r w:rsidRPr="00812EBC">
        <w:rPr>
          <w:rFonts w:ascii="Verdana" w:hAnsi="Verdana" w:cs="Arial"/>
          <w:sz w:val="21"/>
          <w:szCs w:val="21"/>
          <w:lang w:val="en-US"/>
        </w:rPr>
        <w:t>,</w:t>
      </w:r>
      <w:r w:rsidR="002C43AA" w:rsidRPr="00812EBC">
        <w:rPr>
          <w:rFonts w:ascii="Verdana" w:hAnsi="Verdana" w:cs="Arial"/>
          <w:sz w:val="21"/>
          <w:szCs w:val="21"/>
          <w:lang w:val="en-US"/>
        </w:rPr>
        <w:t xml:space="preserve"> f</w:t>
      </w:r>
      <w:r w:rsidRPr="00812EBC">
        <w:rPr>
          <w:rFonts w:ascii="Verdana" w:hAnsi="Verdana" w:cs="Arial"/>
          <w:sz w:val="21"/>
          <w:szCs w:val="21"/>
          <w:lang w:val="en-US"/>
        </w:rPr>
        <w:t>ollowed by random allocation</w:t>
      </w:r>
      <w:r w:rsidR="00B562E2">
        <w:rPr>
          <w:rFonts w:ascii="Verdana" w:hAnsi="Verdana" w:cs="Arial"/>
          <w:sz w:val="21"/>
          <w:szCs w:val="21"/>
          <w:lang w:val="en-US"/>
        </w:rPr>
        <w:t>s.</w:t>
      </w:r>
    </w:p>
    <w:p w14:paraId="22F484B5" w14:textId="77777777" w:rsidR="00B562E2" w:rsidRPr="00812EBC" w:rsidRDefault="00B562E2" w:rsidP="00B562E2">
      <w:pPr>
        <w:spacing w:line="276" w:lineRule="auto"/>
        <w:ind w:left="900" w:hanging="540"/>
        <w:rPr>
          <w:rFonts w:ascii="Verdana" w:hAnsi="Verdana" w:cs="Arial"/>
          <w:sz w:val="21"/>
          <w:szCs w:val="21"/>
          <w:lang w:val="en-US"/>
        </w:rPr>
      </w:pPr>
    </w:p>
    <w:p w14:paraId="541A0E69" w14:textId="09DFDACD" w:rsidR="00F73719" w:rsidRPr="00812EBC" w:rsidRDefault="00C76BBB" w:rsidP="00C76BBB">
      <w:pPr>
        <w:pStyle w:val="ListParagraph"/>
        <w:numPr>
          <w:ilvl w:val="0"/>
          <w:numId w:val="3"/>
        </w:numPr>
        <w:spacing w:after="120" w:line="276" w:lineRule="auto"/>
        <w:ind w:left="709" w:hanging="349"/>
        <w:rPr>
          <w:rFonts w:ascii="Verdana" w:hAnsi="Verdana" w:cs="Arial"/>
          <w:sz w:val="21"/>
          <w:szCs w:val="21"/>
          <w:lang w:val="en-US"/>
        </w:rPr>
      </w:pPr>
      <w:r>
        <w:rPr>
          <w:rFonts w:ascii="Verdana" w:hAnsi="Verdana" w:cs="Arial"/>
          <w:b/>
          <w:bCs/>
          <w:sz w:val="21"/>
          <w:szCs w:val="21"/>
          <w:lang w:val="en-US"/>
        </w:rPr>
        <w:t xml:space="preserve">  </w:t>
      </w:r>
      <w:r w:rsidR="00761C16" w:rsidRPr="00812EBC">
        <w:rPr>
          <w:rFonts w:ascii="Verdana" w:hAnsi="Verdana" w:cs="Arial"/>
          <w:b/>
          <w:bCs/>
          <w:sz w:val="21"/>
          <w:szCs w:val="21"/>
          <w:lang w:val="en-US"/>
        </w:rPr>
        <w:t xml:space="preserve">Definitions: </w:t>
      </w:r>
      <w:r w:rsidR="00CB5740" w:rsidRPr="00812EBC">
        <w:rPr>
          <w:rFonts w:ascii="Verdana" w:hAnsi="Verdana" w:cs="Arial"/>
          <w:b/>
          <w:sz w:val="21"/>
          <w:szCs w:val="21"/>
          <w:lang w:val="en-US"/>
        </w:rPr>
        <w:t>Looked After Child &amp; Previously Looked After Child</w:t>
      </w:r>
      <w:r w:rsidR="00CB5740" w:rsidRPr="00812EBC">
        <w:rPr>
          <w:rFonts w:ascii="Verdana" w:hAnsi="Verdana" w:cs="Arial"/>
          <w:sz w:val="21"/>
          <w:szCs w:val="21"/>
          <w:lang w:val="en-US"/>
        </w:rPr>
        <w:t xml:space="preserve"> </w:t>
      </w:r>
    </w:p>
    <w:p w14:paraId="399848B0" w14:textId="40064A6F" w:rsidR="00761C16" w:rsidRPr="00812EBC" w:rsidRDefault="00CB5740" w:rsidP="00BE570E">
      <w:pPr>
        <w:pStyle w:val="ListParagraph"/>
        <w:numPr>
          <w:ilvl w:val="1"/>
          <w:numId w:val="3"/>
        </w:numPr>
        <w:spacing w:after="120" w:line="276" w:lineRule="auto"/>
        <w:ind w:left="900" w:hanging="540"/>
        <w:rPr>
          <w:rFonts w:ascii="Verdana" w:hAnsi="Verdana" w:cs="Arial"/>
          <w:sz w:val="21"/>
          <w:szCs w:val="21"/>
          <w:lang w:val="en-US"/>
        </w:rPr>
      </w:pPr>
      <w:r w:rsidRPr="00812EBC">
        <w:rPr>
          <w:rFonts w:ascii="Verdana" w:hAnsi="Verdana" w:cs="Arial"/>
          <w:sz w:val="21"/>
          <w:szCs w:val="21"/>
          <w:lang w:val="en-US"/>
        </w:rPr>
        <w:t xml:space="preserve">A looked after child is a child who is (a) in the care of a Local Authority, or (b) being provided with accommodation by a Local Authority in the exercise of their Social Services functions (under section 22(1) of the Children Act 1989. </w:t>
      </w:r>
    </w:p>
    <w:p w14:paraId="57AD78D1" w14:textId="01731A65" w:rsidR="00B562E2" w:rsidRPr="00B562E2" w:rsidRDefault="00CB5740" w:rsidP="00B562E2">
      <w:pPr>
        <w:pStyle w:val="ListParagraph"/>
        <w:numPr>
          <w:ilvl w:val="1"/>
          <w:numId w:val="3"/>
        </w:numPr>
        <w:spacing w:after="120" w:line="276" w:lineRule="auto"/>
        <w:ind w:left="851" w:hanging="540"/>
        <w:rPr>
          <w:rFonts w:ascii="Verdana" w:hAnsi="Verdana" w:cs="Arial"/>
          <w:sz w:val="21"/>
          <w:szCs w:val="21"/>
          <w:lang w:val="en-US"/>
        </w:rPr>
      </w:pPr>
      <w:r w:rsidRPr="00812EBC">
        <w:rPr>
          <w:rFonts w:ascii="Verdana" w:hAnsi="Verdana" w:cs="Arial"/>
          <w:sz w:val="21"/>
          <w:szCs w:val="21"/>
          <w:lang w:val="en-US"/>
        </w:rPr>
        <w:t xml:space="preserve">A previously Looked After Child is </w:t>
      </w:r>
      <w:r w:rsidR="00B72FCF" w:rsidRPr="00812EBC">
        <w:rPr>
          <w:rFonts w:ascii="Verdana" w:hAnsi="Verdana" w:cs="Arial"/>
          <w:sz w:val="21"/>
          <w:szCs w:val="21"/>
          <w:lang w:val="en-US"/>
        </w:rPr>
        <w:t xml:space="preserve">a child who is no longer a looked after child because, </w:t>
      </w:r>
      <w:r w:rsidRPr="00812EBC">
        <w:rPr>
          <w:rFonts w:ascii="Verdana" w:hAnsi="Verdana" w:cs="Arial"/>
          <w:sz w:val="21"/>
          <w:szCs w:val="21"/>
          <w:lang w:val="en-US"/>
        </w:rPr>
        <w:t xml:space="preserve">immediately </w:t>
      </w:r>
      <w:r w:rsidR="00B72FCF" w:rsidRPr="00812EBC">
        <w:rPr>
          <w:rFonts w:ascii="Verdana" w:hAnsi="Verdana" w:cs="Arial"/>
          <w:sz w:val="21"/>
          <w:szCs w:val="21"/>
          <w:lang w:val="en-US"/>
        </w:rPr>
        <w:t xml:space="preserve">after being looked-after he or she became </w:t>
      </w:r>
      <w:r w:rsidRPr="00812EBC">
        <w:rPr>
          <w:rFonts w:ascii="Verdana" w:hAnsi="Verdana" w:cs="Arial"/>
          <w:sz w:val="21"/>
          <w:szCs w:val="21"/>
          <w:lang w:val="en-US"/>
        </w:rPr>
        <w:t xml:space="preserve">subject to an adoption, </w:t>
      </w:r>
      <w:r w:rsidR="00CA4CF6" w:rsidRPr="00812EBC">
        <w:rPr>
          <w:rFonts w:ascii="Verdana" w:hAnsi="Verdana" w:cs="Arial"/>
          <w:sz w:val="21"/>
          <w:szCs w:val="21"/>
          <w:lang w:val="en-US"/>
        </w:rPr>
        <w:t xml:space="preserve">child </w:t>
      </w:r>
      <w:r w:rsidR="000A70EA" w:rsidRPr="00812EBC">
        <w:rPr>
          <w:rFonts w:ascii="Verdana" w:hAnsi="Verdana" w:cs="Arial"/>
          <w:sz w:val="21"/>
          <w:szCs w:val="21"/>
          <w:lang w:val="en-US"/>
        </w:rPr>
        <w:t>arrangements or</w:t>
      </w:r>
      <w:r w:rsidRPr="00812EBC">
        <w:rPr>
          <w:rFonts w:ascii="Verdana" w:hAnsi="Verdana" w:cs="Arial"/>
          <w:sz w:val="21"/>
          <w:szCs w:val="21"/>
          <w:lang w:val="en-US"/>
        </w:rPr>
        <w:t xml:space="preserve"> special guardianship order. </w:t>
      </w:r>
    </w:p>
    <w:p w14:paraId="2B489E98" w14:textId="47BCFD19" w:rsidR="00F73719" w:rsidRPr="00812EBC" w:rsidRDefault="00F73719" w:rsidP="00BE570E">
      <w:pPr>
        <w:pStyle w:val="Heading3"/>
        <w:numPr>
          <w:ilvl w:val="0"/>
          <w:numId w:val="3"/>
        </w:numPr>
        <w:spacing w:after="120" w:line="276" w:lineRule="auto"/>
        <w:ind w:left="900" w:hanging="540"/>
        <w:rPr>
          <w:rFonts w:ascii="Verdana" w:hAnsi="Verdana"/>
          <w:sz w:val="21"/>
          <w:szCs w:val="21"/>
        </w:rPr>
      </w:pPr>
      <w:r w:rsidRPr="00812EBC">
        <w:rPr>
          <w:rFonts w:ascii="Verdana" w:hAnsi="Verdana"/>
          <w:sz w:val="21"/>
          <w:szCs w:val="21"/>
        </w:rPr>
        <w:t>Appeals</w:t>
      </w:r>
    </w:p>
    <w:p w14:paraId="4CA44F50" w14:textId="77777777" w:rsidR="00F73719" w:rsidRPr="00812EBC" w:rsidRDefault="002E5975" w:rsidP="00BE570E">
      <w:pPr>
        <w:pStyle w:val="ListParagraph"/>
        <w:numPr>
          <w:ilvl w:val="1"/>
          <w:numId w:val="3"/>
        </w:numPr>
        <w:spacing w:after="120" w:line="276" w:lineRule="auto"/>
        <w:ind w:left="900" w:hanging="540"/>
        <w:rPr>
          <w:rFonts w:ascii="Verdana" w:hAnsi="Verdana"/>
          <w:sz w:val="21"/>
          <w:szCs w:val="21"/>
          <w:lang w:val="en-US"/>
        </w:rPr>
      </w:pPr>
      <w:r w:rsidRPr="00812EBC">
        <w:rPr>
          <w:rFonts w:ascii="Verdana" w:hAnsi="Verdana"/>
          <w:sz w:val="21"/>
          <w:szCs w:val="21"/>
          <w:lang w:val="en-US"/>
        </w:rPr>
        <w:t>Commissioners have the right of appeal against the refusal of a place at the Academy. Commissioners wishing to appeal must follow the procedure contained within the Academy’s complaints procedure which is available on the school website or by request.</w:t>
      </w:r>
    </w:p>
    <w:p w14:paraId="2EC4DDDA" w14:textId="09C91301" w:rsidR="003F4CBD" w:rsidRPr="00812EBC" w:rsidRDefault="002E5975" w:rsidP="00BE570E">
      <w:pPr>
        <w:pStyle w:val="ListParagraph"/>
        <w:numPr>
          <w:ilvl w:val="1"/>
          <w:numId w:val="3"/>
        </w:numPr>
        <w:spacing w:after="120" w:line="276" w:lineRule="auto"/>
        <w:ind w:left="900" w:hanging="540"/>
        <w:rPr>
          <w:rFonts w:ascii="Verdana" w:hAnsi="Verdana"/>
          <w:sz w:val="21"/>
          <w:szCs w:val="21"/>
          <w:lang w:val="en-US"/>
        </w:rPr>
      </w:pPr>
      <w:r w:rsidRPr="00812EBC">
        <w:rPr>
          <w:rFonts w:ascii="Verdana" w:hAnsi="Verdana"/>
          <w:sz w:val="21"/>
          <w:szCs w:val="21"/>
          <w:lang w:val="en-US"/>
        </w:rPr>
        <w:t>The Commissioner of any child who is refused a place at the Academy has a right of appeal to an Independent Appeals Panel.  The panel consists of three people who are independent of the Academy Body and the Local Authority.  The panel will consider the circumstances of the case put before them</w:t>
      </w:r>
      <w:r w:rsidR="00D84259" w:rsidRPr="00812EBC">
        <w:rPr>
          <w:rFonts w:ascii="Verdana" w:hAnsi="Verdana"/>
          <w:sz w:val="21"/>
          <w:szCs w:val="21"/>
          <w:lang w:val="en-US"/>
        </w:rPr>
        <w:t xml:space="preserve"> and reach a decision on whether the appeal should be upheld</w:t>
      </w:r>
      <w:r w:rsidRPr="00812EBC">
        <w:rPr>
          <w:rFonts w:ascii="Verdana" w:hAnsi="Verdana"/>
          <w:sz w:val="21"/>
          <w:szCs w:val="21"/>
          <w:lang w:val="en-US"/>
        </w:rPr>
        <w:t xml:space="preserve">. </w:t>
      </w:r>
      <w:r w:rsidR="00D84259" w:rsidRPr="00812EBC">
        <w:rPr>
          <w:rFonts w:ascii="Verdana" w:hAnsi="Verdana"/>
          <w:sz w:val="21"/>
          <w:szCs w:val="21"/>
          <w:lang w:val="en-US"/>
        </w:rPr>
        <w:t>If it is, th</w:t>
      </w:r>
      <w:r w:rsidR="00B363DA">
        <w:rPr>
          <w:rFonts w:ascii="Verdana" w:hAnsi="Verdana"/>
          <w:sz w:val="21"/>
          <w:szCs w:val="21"/>
          <w:lang w:val="en-US"/>
        </w:rPr>
        <w:t>e school will admit the student</w:t>
      </w:r>
      <w:r w:rsidRPr="00812EBC">
        <w:rPr>
          <w:rFonts w:ascii="Verdana" w:hAnsi="Verdana"/>
          <w:sz w:val="21"/>
          <w:szCs w:val="21"/>
          <w:lang w:val="en-US"/>
        </w:rPr>
        <w:t xml:space="preserve">. </w:t>
      </w:r>
    </w:p>
    <w:p w14:paraId="03049260" w14:textId="39B4CC18" w:rsidR="00F15083" w:rsidRDefault="002E5975" w:rsidP="00BE570E">
      <w:pPr>
        <w:pStyle w:val="ListParagraph"/>
        <w:numPr>
          <w:ilvl w:val="1"/>
          <w:numId w:val="3"/>
        </w:numPr>
        <w:spacing w:after="120" w:line="276" w:lineRule="auto"/>
        <w:ind w:left="900" w:hanging="540"/>
        <w:rPr>
          <w:rFonts w:ascii="Verdana" w:hAnsi="Verdana"/>
          <w:sz w:val="21"/>
          <w:szCs w:val="21"/>
          <w:lang w:val="en-US"/>
        </w:rPr>
      </w:pPr>
      <w:r w:rsidRPr="00812EBC">
        <w:rPr>
          <w:rFonts w:ascii="Verdana" w:hAnsi="Verdana"/>
          <w:sz w:val="21"/>
          <w:szCs w:val="21"/>
          <w:lang w:val="en-US"/>
        </w:rPr>
        <w:t xml:space="preserve">Further objections will be referred to the </w:t>
      </w:r>
      <w:proofErr w:type="gramStart"/>
      <w:r w:rsidRPr="00812EBC">
        <w:rPr>
          <w:rFonts w:ascii="Verdana" w:hAnsi="Verdana"/>
          <w:sz w:val="21"/>
          <w:szCs w:val="21"/>
          <w:lang w:val="en-US"/>
        </w:rPr>
        <w:t>E</w:t>
      </w:r>
      <w:r w:rsidR="00C23E59">
        <w:rPr>
          <w:rFonts w:ascii="Verdana" w:hAnsi="Verdana"/>
          <w:sz w:val="21"/>
          <w:szCs w:val="21"/>
          <w:lang w:val="en-US"/>
        </w:rPr>
        <w:t>S</w:t>
      </w:r>
      <w:r w:rsidRPr="00812EBC">
        <w:rPr>
          <w:rFonts w:ascii="Verdana" w:hAnsi="Verdana"/>
          <w:sz w:val="21"/>
          <w:szCs w:val="21"/>
          <w:lang w:val="en-US"/>
        </w:rPr>
        <w:t>FA</w:t>
      </w:r>
      <w:proofErr w:type="gramEnd"/>
      <w:r w:rsidRPr="00812EBC">
        <w:rPr>
          <w:rFonts w:ascii="Verdana" w:hAnsi="Verdana"/>
          <w:sz w:val="21"/>
          <w:szCs w:val="21"/>
          <w:lang w:val="en-US"/>
        </w:rPr>
        <w:t xml:space="preserve"> but the decision of the Independent Appeals Panel will </w:t>
      </w:r>
      <w:r w:rsidR="00D84259" w:rsidRPr="00812EBC">
        <w:rPr>
          <w:rFonts w:ascii="Verdana" w:hAnsi="Verdana"/>
          <w:sz w:val="21"/>
          <w:szCs w:val="21"/>
          <w:lang w:val="en-US"/>
        </w:rPr>
        <w:t xml:space="preserve">stand </w:t>
      </w:r>
      <w:r w:rsidR="000A70EA" w:rsidRPr="00812EBC">
        <w:rPr>
          <w:rFonts w:ascii="Verdana" w:hAnsi="Verdana"/>
          <w:sz w:val="21"/>
          <w:szCs w:val="21"/>
          <w:lang w:val="en-US"/>
        </w:rPr>
        <w:t xml:space="preserve">unless </w:t>
      </w:r>
      <w:r w:rsidR="00C23E59">
        <w:rPr>
          <w:rFonts w:ascii="Verdana" w:hAnsi="Verdana"/>
          <w:sz w:val="21"/>
          <w:szCs w:val="21"/>
          <w:lang w:val="en-US"/>
        </w:rPr>
        <w:t xml:space="preserve">the </w:t>
      </w:r>
      <w:r w:rsidR="000A70EA" w:rsidRPr="00812EBC">
        <w:rPr>
          <w:rFonts w:ascii="Verdana" w:hAnsi="Verdana"/>
          <w:sz w:val="21"/>
          <w:szCs w:val="21"/>
          <w:lang w:val="en-US"/>
        </w:rPr>
        <w:t>E</w:t>
      </w:r>
      <w:r w:rsidR="00C23E59">
        <w:rPr>
          <w:rFonts w:ascii="Verdana" w:hAnsi="Verdana"/>
          <w:sz w:val="21"/>
          <w:szCs w:val="21"/>
          <w:lang w:val="en-US"/>
        </w:rPr>
        <w:t>S</w:t>
      </w:r>
      <w:r w:rsidR="000A70EA" w:rsidRPr="00812EBC">
        <w:rPr>
          <w:rFonts w:ascii="Verdana" w:hAnsi="Verdana"/>
          <w:sz w:val="21"/>
          <w:szCs w:val="21"/>
          <w:lang w:val="en-US"/>
        </w:rPr>
        <w:t>FA</w:t>
      </w:r>
      <w:r w:rsidRPr="00812EBC">
        <w:rPr>
          <w:rFonts w:ascii="Verdana" w:hAnsi="Verdana"/>
          <w:sz w:val="21"/>
          <w:szCs w:val="21"/>
          <w:lang w:val="en-US"/>
        </w:rPr>
        <w:t xml:space="preserve"> </w:t>
      </w:r>
      <w:r w:rsidR="00D84259" w:rsidRPr="00812EBC">
        <w:rPr>
          <w:rFonts w:ascii="Verdana" w:hAnsi="Verdana"/>
          <w:sz w:val="21"/>
          <w:szCs w:val="21"/>
          <w:lang w:val="en-US"/>
        </w:rPr>
        <w:t>find that proper process has not been followed</w:t>
      </w:r>
      <w:r w:rsidRPr="00812EBC">
        <w:rPr>
          <w:rFonts w:ascii="Verdana" w:hAnsi="Verdana"/>
          <w:sz w:val="21"/>
          <w:szCs w:val="21"/>
          <w:lang w:val="en-US"/>
        </w:rPr>
        <w:t>. At that point the E</w:t>
      </w:r>
      <w:r w:rsidR="00C23E59">
        <w:rPr>
          <w:rFonts w:ascii="Verdana" w:hAnsi="Verdana"/>
          <w:sz w:val="21"/>
          <w:szCs w:val="21"/>
          <w:lang w:val="en-US"/>
        </w:rPr>
        <w:t>S</w:t>
      </w:r>
      <w:r w:rsidRPr="00812EBC">
        <w:rPr>
          <w:rFonts w:ascii="Verdana" w:hAnsi="Verdana"/>
          <w:sz w:val="21"/>
          <w:szCs w:val="21"/>
          <w:lang w:val="en-US"/>
        </w:rPr>
        <w:t>FA decision will be binding on the school.</w:t>
      </w:r>
    </w:p>
    <w:p w14:paraId="3FC9E27A" w14:textId="77777777" w:rsidR="00D97BB3" w:rsidRPr="00D97BB3" w:rsidRDefault="00D97BB3" w:rsidP="00D97BB3">
      <w:pPr>
        <w:rPr>
          <w:lang w:val="en-US" w:eastAsia="en-GB"/>
        </w:rPr>
      </w:pPr>
    </w:p>
    <w:p w14:paraId="553AB203" w14:textId="77777777" w:rsidR="00D97BB3" w:rsidRPr="00D97BB3" w:rsidRDefault="00D97BB3" w:rsidP="00D97BB3">
      <w:pPr>
        <w:rPr>
          <w:lang w:val="en-US" w:eastAsia="en-GB"/>
        </w:rPr>
      </w:pPr>
    </w:p>
    <w:p w14:paraId="782B8A5A" w14:textId="77777777" w:rsidR="00D97BB3" w:rsidRPr="00D97BB3" w:rsidRDefault="00D97BB3" w:rsidP="00D97BB3">
      <w:pPr>
        <w:rPr>
          <w:lang w:val="en-US" w:eastAsia="en-GB"/>
        </w:rPr>
      </w:pPr>
    </w:p>
    <w:p w14:paraId="569B370F" w14:textId="77777777" w:rsidR="00D97BB3" w:rsidRPr="00D97BB3" w:rsidRDefault="00D97BB3" w:rsidP="00D97BB3">
      <w:pPr>
        <w:rPr>
          <w:lang w:val="en-US" w:eastAsia="en-GB"/>
        </w:rPr>
      </w:pPr>
    </w:p>
    <w:p w14:paraId="514CA3D1" w14:textId="77777777" w:rsidR="00D97BB3" w:rsidRPr="00D97BB3" w:rsidRDefault="00D97BB3" w:rsidP="00D97BB3">
      <w:pPr>
        <w:rPr>
          <w:lang w:val="en-US" w:eastAsia="en-GB"/>
        </w:rPr>
      </w:pPr>
    </w:p>
    <w:p w14:paraId="0FF820EC" w14:textId="77777777" w:rsidR="00D97BB3" w:rsidRPr="00D97BB3" w:rsidRDefault="00D97BB3" w:rsidP="00D97BB3">
      <w:pPr>
        <w:rPr>
          <w:lang w:val="en-US" w:eastAsia="en-GB"/>
        </w:rPr>
      </w:pPr>
    </w:p>
    <w:p w14:paraId="35E1690B" w14:textId="77777777" w:rsidR="00D97BB3" w:rsidRDefault="00D97BB3" w:rsidP="00D97BB3">
      <w:pPr>
        <w:rPr>
          <w:rFonts w:ascii="Verdana" w:hAnsi="Verdana"/>
          <w:sz w:val="21"/>
          <w:szCs w:val="21"/>
          <w:lang w:val="en-US" w:eastAsia="en-GB"/>
        </w:rPr>
      </w:pPr>
    </w:p>
    <w:p w14:paraId="234A7441" w14:textId="7A5AB947" w:rsidR="00D97BB3" w:rsidRPr="00D97BB3" w:rsidRDefault="00D97BB3" w:rsidP="00D97BB3">
      <w:pPr>
        <w:tabs>
          <w:tab w:val="left" w:pos="5867"/>
        </w:tabs>
        <w:rPr>
          <w:lang w:val="en-US" w:eastAsia="en-GB"/>
        </w:rPr>
      </w:pPr>
      <w:r>
        <w:rPr>
          <w:lang w:val="en-US" w:eastAsia="en-GB"/>
        </w:rPr>
        <w:tab/>
      </w:r>
    </w:p>
    <w:sectPr w:rsidR="00D97BB3" w:rsidRPr="00D97BB3" w:rsidSect="00796FE1">
      <w:headerReference w:type="default" r:id="rId13"/>
      <w:footerReference w:type="default" r:id="rId14"/>
      <w:pgSz w:w="11909" w:h="16834" w:code="9"/>
      <w:pgMar w:top="1985" w:right="1136" w:bottom="1320" w:left="993"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9D28" w14:textId="77777777" w:rsidR="00796FE1" w:rsidRDefault="00796FE1">
      <w:r>
        <w:separator/>
      </w:r>
    </w:p>
  </w:endnote>
  <w:endnote w:type="continuationSeparator" w:id="0">
    <w:p w14:paraId="0478A0C5" w14:textId="77777777" w:rsidR="00796FE1" w:rsidRDefault="0079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3"/>
      <w:gridCol w:w="4961"/>
      <w:gridCol w:w="1308"/>
    </w:tblGrid>
    <w:tr w:rsidR="00C76BBB" w:rsidRPr="00F427A9" w14:paraId="144F3389" w14:textId="77777777" w:rsidTr="00C76BBB">
      <w:trPr>
        <w:trHeight w:val="314"/>
      </w:trPr>
      <w:tc>
        <w:tcPr>
          <w:tcW w:w="3823" w:type="dxa"/>
          <w:vAlign w:val="center"/>
        </w:tcPr>
        <w:p w14:paraId="6E52ED2C" w14:textId="77777777" w:rsidR="00C76BBB" w:rsidRPr="00F427A9" w:rsidRDefault="00C76BBB" w:rsidP="00C76BBB">
          <w:pPr>
            <w:pStyle w:val="BodyText"/>
            <w:ind w:right="-104"/>
            <w:jc w:val="left"/>
            <w:rPr>
              <w:rFonts w:ascii="Verdana" w:hAnsi="Verdana" w:cs="Arial"/>
              <w:b w:val="0"/>
              <w:bCs/>
              <w:sz w:val="16"/>
              <w:szCs w:val="16"/>
            </w:rPr>
          </w:pPr>
          <w:r w:rsidRPr="00F427A9">
            <w:rPr>
              <w:rFonts w:ascii="Verdana" w:hAnsi="Verdana" w:cs="Arial"/>
              <w:b w:val="0"/>
              <w:bCs/>
              <w:sz w:val="16"/>
              <w:szCs w:val="16"/>
            </w:rPr>
            <w:t>Document: Admissions Policy</w:t>
          </w:r>
        </w:p>
      </w:tc>
      <w:tc>
        <w:tcPr>
          <w:tcW w:w="4961" w:type="dxa"/>
          <w:vAlign w:val="center"/>
        </w:tcPr>
        <w:p w14:paraId="15B8A74F" w14:textId="36CA39E2" w:rsidR="00B562E2" w:rsidRPr="00F427A9" w:rsidRDefault="00C76BBB" w:rsidP="00C76BBB">
          <w:pPr>
            <w:pStyle w:val="BodyText"/>
            <w:ind w:right="-114"/>
            <w:jc w:val="left"/>
            <w:rPr>
              <w:rFonts w:ascii="Verdana" w:hAnsi="Verdana" w:cs="Arial"/>
              <w:b w:val="0"/>
              <w:bCs/>
              <w:sz w:val="16"/>
              <w:szCs w:val="16"/>
            </w:rPr>
          </w:pPr>
          <w:r w:rsidRPr="00F427A9">
            <w:rPr>
              <w:rFonts w:ascii="Verdana" w:hAnsi="Verdana" w:cs="Arial"/>
              <w:b w:val="0"/>
              <w:bCs/>
              <w:sz w:val="16"/>
              <w:szCs w:val="16"/>
            </w:rPr>
            <w:t>Review Date: December 202</w:t>
          </w:r>
          <w:r w:rsidR="00D97BB3">
            <w:rPr>
              <w:rFonts w:ascii="Verdana" w:hAnsi="Verdana" w:cs="Arial"/>
              <w:b w:val="0"/>
              <w:bCs/>
              <w:sz w:val="16"/>
              <w:szCs w:val="16"/>
            </w:rPr>
            <w:t>4</w:t>
          </w:r>
        </w:p>
      </w:tc>
      <w:tc>
        <w:tcPr>
          <w:tcW w:w="1308" w:type="dxa"/>
          <w:vAlign w:val="center"/>
        </w:tcPr>
        <w:p w14:paraId="67F74642" w14:textId="149B9116" w:rsidR="00C76BBB" w:rsidRPr="00F427A9" w:rsidRDefault="00C76BBB" w:rsidP="00C76BBB">
          <w:pPr>
            <w:pStyle w:val="BodyText"/>
            <w:ind w:right="-71"/>
            <w:jc w:val="left"/>
            <w:rPr>
              <w:rFonts w:ascii="Verdana" w:hAnsi="Verdana" w:cs="Arial"/>
              <w:b w:val="0"/>
              <w:bCs/>
              <w:sz w:val="16"/>
              <w:szCs w:val="16"/>
            </w:rPr>
          </w:pPr>
          <w:r w:rsidRPr="00F427A9">
            <w:rPr>
              <w:rFonts w:ascii="Verdana" w:hAnsi="Verdana" w:cs="Arial"/>
              <w:b w:val="0"/>
              <w:bCs/>
              <w:sz w:val="16"/>
              <w:szCs w:val="16"/>
            </w:rPr>
            <w:t xml:space="preserve">Page </w:t>
          </w:r>
          <w:r w:rsidRPr="00F427A9">
            <w:rPr>
              <w:rFonts w:ascii="Verdana" w:hAnsi="Verdana"/>
              <w:b w:val="0"/>
              <w:sz w:val="16"/>
              <w:szCs w:val="16"/>
              <w:lang w:eastAsia="en-GB"/>
            </w:rPr>
            <w:fldChar w:fldCharType="begin"/>
          </w:r>
          <w:r w:rsidRPr="00F427A9">
            <w:rPr>
              <w:rFonts w:ascii="Verdana" w:hAnsi="Verdana"/>
              <w:b w:val="0"/>
              <w:sz w:val="16"/>
              <w:szCs w:val="16"/>
              <w:lang w:eastAsia="en-GB"/>
            </w:rPr>
            <w:instrText xml:space="preserve">PAGE  </w:instrText>
          </w:r>
          <w:r w:rsidRPr="00F427A9">
            <w:rPr>
              <w:rFonts w:ascii="Verdana" w:hAnsi="Verdana"/>
              <w:b w:val="0"/>
              <w:sz w:val="16"/>
              <w:szCs w:val="16"/>
              <w:lang w:eastAsia="en-GB"/>
            </w:rPr>
            <w:fldChar w:fldCharType="separate"/>
          </w:r>
          <w:r w:rsidRPr="00F427A9">
            <w:rPr>
              <w:rFonts w:ascii="Verdana" w:hAnsi="Verdana"/>
              <w:b w:val="0"/>
              <w:noProof/>
              <w:sz w:val="16"/>
              <w:szCs w:val="16"/>
              <w:lang w:eastAsia="en-GB"/>
            </w:rPr>
            <w:t>1</w:t>
          </w:r>
          <w:r w:rsidRPr="00F427A9">
            <w:rPr>
              <w:rFonts w:ascii="Verdana" w:hAnsi="Verdana"/>
              <w:b w:val="0"/>
              <w:sz w:val="16"/>
              <w:szCs w:val="16"/>
              <w:lang w:eastAsia="en-GB"/>
            </w:rPr>
            <w:fldChar w:fldCharType="end"/>
          </w:r>
          <w:r w:rsidRPr="00F427A9">
            <w:rPr>
              <w:rFonts w:ascii="Verdana" w:hAnsi="Verdana" w:cs="Arial"/>
              <w:b w:val="0"/>
              <w:bCs/>
              <w:sz w:val="16"/>
              <w:szCs w:val="16"/>
            </w:rPr>
            <w:t xml:space="preserve"> of 3</w:t>
          </w:r>
        </w:p>
      </w:tc>
    </w:tr>
  </w:tbl>
  <w:p w14:paraId="07C2D7A2" w14:textId="77777777" w:rsidR="00733C48" w:rsidRPr="00B363DA" w:rsidRDefault="00733C48" w:rsidP="00F15083">
    <w:pPr>
      <w:pStyle w:val="Foo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DC3E" w14:textId="77777777" w:rsidR="00796FE1" w:rsidRDefault="00796FE1">
      <w:r>
        <w:separator/>
      </w:r>
    </w:p>
  </w:footnote>
  <w:footnote w:type="continuationSeparator" w:id="0">
    <w:p w14:paraId="31BBF81C" w14:textId="77777777" w:rsidR="00796FE1" w:rsidRDefault="00796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DA8" w14:textId="3E1D270B" w:rsidR="00733C48" w:rsidRDefault="00733C48" w:rsidP="00F15083">
    <w:pPr>
      <w:pStyle w:val="Header"/>
      <w:jc w:val="right"/>
    </w:pPr>
    <w:r>
      <w:rPr>
        <w:noProof/>
        <w:lang w:eastAsia="en-GB"/>
      </w:rPr>
      <w:drawing>
        <wp:anchor distT="0" distB="0" distL="114300" distR="114300" simplePos="0" relativeHeight="251658240" behindDoc="0" locked="0" layoutInCell="1" allowOverlap="1" wp14:anchorId="6D8D929D" wp14:editId="739C8AE2">
          <wp:simplePos x="0" y="0"/>
          <wp:positionH relativeFrom="column">
            <wp:posOffset>3773170</wp:posOffset>
          </wp:positionH>
          <wp:positionV relativeFrom="paragraph">
            <wp:posOffset>-100330</wp:posOffset>
          </wp:positionV>
          <wp:extent cx="2651125" cy="894715"/>
          <wp:effectExtent l="0" t="0" r="0" b="0"/>
          <wp:wrapTight wrapText="bothSides">
            <wp:wrapPolygon edited="0">
              <wp:start x="0" y="0"/>
              <wp:lineTo x="0" y="20849"/>
              <wp:lineTo x="21315" y="20849"/>
              <wp:lineTo x="21315" y="0"/>
              <wp:lineTo x="0" y="0"/>
            </wp:wrapPolygon>
          </wp:wrapTight>
          <wp:docPr id="2" name="Picture 2"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112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BF9"/>
    <w:multiLevelType w:val="hybridMultilevel"/>
    <w:tmpl w:val="8DC42ED0"/>
    <w:lvl w:ilvl="0" w:tplc="1F0C54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E7F6A"/>
    <w:multiLevelType w:val="multilevel"/>
    <w:tmpl w:val="584CEE1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val="0"/>
        <w:color w:val="auto"/>
        <w:u w:val="none"/>
      </w:rPr>
    </w:lvl>
    <w:lvl w:ilvl="2">
      <w:start w:val="1"/>
      <w:numFmt w:val="decimal"/>
      <w:isLgl/>
      <w:lvlText w:val="%1.%2.%3"/>
      <w:lvlJc w:val="left"/>
      <w:pPr>
        <w:ind w:left="1080" w:hanging="720"/>
      </w:pPr>
      <w:rPr>
        <w:rFonts w:hint="default"/>
        <w:b w:val="0"/>
        <w:color w:val="auto"/>
        <w:u w:val="none"/>
      </w:rPr>
    </w:lvl>
    <w:lvl w:ilvl="3">
      <w:start w:val="1"/>
      <w:numFmt w:val="decimal"/>
      <w:isLgl/>
      <w:lvlText w:val="%1.%2.%3.%4"/>
      <w:lvlJc w:val="left"/>
      <w:pPr>
        <w:ind w:left="1440" w:hanging="1080"/>
      </w:pPr>
      <w:rPr>
        <w:rFonts w:hint="default"/>
        <w:b w:val="0"/>
        <w:color w:val="auto"/>
        <w:u w:val="none"/>
      </w:rPr>
    </w:lvl>
    <w:lvl w:ilvl="4">
      <w:start w:val="1"/>
      <w:numFmt w:val="decimal"/>
      <w:isLgl/>
      <w:lvlText w:val="%1.%2.%3.%4.%5"/>
      <w:lvlJc w:val="left"/>
      <w:pPr>
        <w:ind w:left="1440" w:hanging="1080"/>
      </w:pPr>
      <w:rPr>
        <w:rFonts w:hint="default"/>
        <w:b w:val="0"/>
        <w:color w:val="auto"/>
        <w:u w:val="none"/>
      </w:rPr>
    </w:lvl>
    <w:lvl w:ilvl="5">
      <w:start w:val="1"/>
      <w:numFmt w:val="decimal"/>
      <w:isLgl/>
      <w:lvlText w:val="%1.%2.%3.%4.%5.%6"/>
      <w:lvlJc w:val="left"/>
      <w:pPr>
        <w:ind w:left="1800" w:hanging="1440"/>
      </w:pPr>
      <w:rPr>
        <w:rFonts w:hint="default"/>
        <w:b w:val="0"/>
        <w:color w:val="auto"/>
        <w:u w:val="none"/>
      </w:rPr>
    </w:lvl>
    <w:lvl w:ilvl="6">
      <w:start w:val="1"/>
      <w:numFmt w:val="decimal"/>
      <w:isLgl/>
      <w:lvlText w:val="%1.%2.%3.%4.%5.%6.%7"/>
      <w:lvlJc w:val="left"/>
      <w:pPr>
        <w:ind w:left="2160" w:hanging="1800"/>
      </w:pPr>
      <w:rPr>
        <w:rFonts w:hint="default"/>
        <w:b w:val="0"/>
        <w:color w:val="auto"/>
        <w:u w:val="none"/>
      </w:rPr>
    </w:lvl>
    <w:lvl w:ilvl="7">
      <w:start w:val="1"/>
      <w:numFmt w:val="decimal"/>
      <w:isLgl/>
      <w:lvlText w:val="%1.%2.%3.%4.%5.%6.%7.%8"/>
      <w:lvlJc w:val="left"/>
      <w:pPr>
        <w:ind w:left="2160" w:hanging="1800"/>
      </w:pPr>
      <w:rPr>
        <w:rFonts w:hint="default"/>
        <w:b w:val="0"/>
        <w:color w:val="auto"/>
        <w:u w:val="none"/>
      </w:rPr>
    </w:lvl>
    <w:lvl w:ilvl="8">
      <w:start w:val="1"/>
      <w:numFmt w:val="decimal"/>
      <w:isLgl/>
      <w:lvlText w:val="%1.%2.%3.%4.%5.%6.%7.%8.%9"/>
      <w:lvlJc w:val="left"/>
      <w:pPr>
        <w:ind w:left="2520" w:hanging="2160"/>
      </w:pPr>
      <w:rPr>
        <w:rFonts w:hint="default"/>
        <w:b w:val="0"/>
        <w:color w:val="auto"/>
        <w:u w:val="none"/>
      </w:rPr>
    </w:lvl>
  </w:abstractNum>
  <w:abstractNum w:abstractNumId="2" w15:restartNumberingAfterBreak="0">
    <w:nsid w:val="131E2AB5"/>
    <w:multiLevelType w:val="hybridMultilevel"/>
    <w:tmpl w:val="1C788424"/>
    <w:lvl w:ilvl="0" w:tplc="0809000F">
      <w:start w:val="1"/>
      <w:numFmt w:val="decimal"/>
      <w:lvlText w:val="%1."/>
      <w:lvlJc w:val="left"/>
      <w:pPr>
        <w:ind w:left="2717" w:hanging="360"/>
      </w:pPr>
    </w:lvl>
    <w:lvl w:ilvl="1" w:tplc="08090019" w:tentative="1">
      <w:start w:val="1"/>
      <w:numFmt w:val="lowerLetter"/>
      <w:lvlText w:val="%2."/>
      <w:lvlJc w:val="left"/>
      <w:pPr>
        <w:ind w:left="3437" w:hanging="360"/>
      </w:pPr>
    </w:lvl>
    <w:lvl w:ilvl="2" w:tplc="0809001B" w:tentative="1">
      <w:start w:val="1"/>
      <w:numFmt w:val="lowerRoman"/>
      <w:lvlText w:val="%3."/>
      <w:lvlJc w:val="right"/>
      <w:pPr>
        <w:ind w:left="4157" w:hanging="180"/>
      </w:pPr>
    </w:lvl>
    <w:lvl w:ilvl="3" w:tplc="0809000F" w:tentative="1">
      <w:start w:val="1"/>
      <w:numFmt w:val="decimal"/>
      <w:lvlText w:val="%4."/>
      <w:lvlJc w:val="left"/>
      <w:pPr>
        <w:ind w:left="4877" w:hanging="360"/>
      </w:pPr>
    </w:lvl>
    <w:lvl w:ilvl="4" w:tplc="08090019" w:tentative="1">
      <w:start w:val="1"/>
      <w:numFmt w:val="lowerLetter"/>
      <w:lvlText w:val="%5."/>
      <w:lvlJc w:val="left"/>
      <w:pPr>
        <w:ind w:left="5597" w:hanging="360"/>
      </w:pPr>
    </w:lvl>
    <w:lvl w:ilvl="5" w:tplc="0809001B" w:tentative="1">
      <w:start w:val="1"/>
      <w:numFmt w:val="lowerRoman"/>
      <w:lvlText w:val="%6."/>
      <w:lvlJc w:val="right"/>
      <w:pPr>
        <w:ind w:left="6317" w:hanging="180"/>
      </w:pPr>
    </w:lvl>
    <w:lvl w:ilvl="6" w:tplc="0809000F" w:tentative="1">
      <w:start w:val="1"/>
      <w:numFmt w:val="decimal"/>
      <w:lvlText w:val="%7."/>
      <w:lvlJc w:val="left"/>
      <w:pPr>
        <w:ind w:left="7037" w:hanging="360"/>
      </w:pPr>
    </w:lvl>
    <w:lvl w:ilvl="7" w:tplc="08090019" w:tentative="1">
      <w:start w:val="1"/>
      <w:numFmt w:val="lowerLetter"/>
      <w:lvlText w:val="%8."/>
      <w:lvlJc w:val="left"/>
      <w:pPr>
        <w:ind w:left="7757" w:hanging="360"/>
      </w:pPr>
    </w:lvl>
    <w:lvl w:ilvl="8" w:tplc="0809001B" w:tentative="1">
      <w:start w:val="1"/>
      <w:numFmt w:val="lowerRoman"/>
      <w:lvlText w:val="%9."/>
      <w:lvlJc w:val="right"/>
      <w:pPr>
        <w:ind w:left="8477" w:hanging="180"/>
      </w:p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9A5498D"/>
    <w:multiLevelType w:val="hybridMultilevel"/>
    <w:tmpl w:val="D60AF7B2"/>
    <w:lvl w:ilvl="0" w:tplc="1F0C54EC">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C77559C"/>
    <w:multiLevelType w:val="multilevel"/>
    <w:tmpl w:val="674AF2B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b w:val="0"/>
        <w:color w:val="auto"/>
        <w:u w:val="none"/>
      </w:rPr>
    </w:lvl>
    <w:lvl w:ilvl="3">
      <w:start w:val="1"/>
      <w:numFmt w:val="decimal"/>
      <w:isLgl/>
      <w:lvlText w:val="%1.%2.%3.%4"/>
      <w:lvlJc w:val="left"/>
      <w:pPr>
        <w:ind w:left="1440" w:hanging="1080"/>
      </w:pPr>
      <w:rPr>
        <w:rFonts w:hint="default"/>
        <w:b w:val="0"/>
        <w:color w:val="auto"/>
        <w:u w:val="none"/>
      </w:rPr>
    </w:lvl>
    <w:lvl w:ilvl="4">
      <w:start w:val="1"/>
      <w:numFmt w:val="decimal"/>
      <w:isLgl/>
      <w:lvlText w:val="%1.%2.%3.%4.%5"/>
      <w:lvlJc w:val="left"/>
      <w:pPr>
        <w:ind w:left="1440" w:hanging="1080"/>
      </w:pPr>
      <w:rPr>
        <w:rFonts w:hint="default"/>
        <w:b w:val="0"/>
        <w:color w:val="auto"/>
        <w:u w:val="none"/>
      </w:rPr>
    </w:lvl>
    <w:lvl w:ilvl="5">
      <w:start w:val="1"/>
      <w:numFmt w:val="decimal"/>
      <w:isLgl/>
      <w:lvlText w:val="%1.%2.%3.%4.%5.%6"/>
      <w:lvlJc w:val="left"/>
      <w:pPr>
        <w:ind w:left="1800" w:hanging="1440"/>
      </w:pPr>
      <w:rPr>
        <w:rFonts w:hint="default"/>
        <w:b w:val="0"/>
        <w:color w:val="auto"/>
        <w:u w:val="none"/>
      </w:rPr>
    </w:lvl>
    <w:lvl w:ilvl="6">
      <w:start w:val="1"/>
      <w:numFmt w:val="decimal"/>
      <w:isLgl/>
      <w:lvlText w:val="%1.%2.%3.%4.%5.%6.%7"/>
      <w:lvlJc w:val="left"/>
      <w:pPr>
        <w:ind w:left="2160" w:hanging="1800"/>
      </w:pPr>
      <w:rPr>
        <w:rFonts w:hint="default"/>
        <w:b w:val="0"/>
        <w:color w:val="auto"/>
        <w:u w:val="none"/>
      </w:rPr>
    </w:lvl>
    <w:lvl w:ilvl="7">
      <w:start w:val="1"/>
      <w:numFmt w:val="decimal"/>
      <w:isLgl/>
      <w:lvlText w:val="%1.%2.%3.%4.%5.%6.%7.%8"/>
      <w:lvlJc w:val="left"/>
      <w:pPr>
        <w:ind w:left="2160" w:hanging="1800"/>
      </w:pPr>
      <w:rPr>
        <w:rFonts w:hint="default"/>
        <w:b w:val="0"/>
        <w:color w:val="auto"/>
        <w:u w:val="none"/>
      </w:rPr>
    </w:lvl>
    <w:lvl w:ilvl="8">
      <w:start w:val="1"/>
      <w:numFmt w:val="decimal"/>
      <w:isLgl/>
      <w:lvlText w:val="%1.%2.%3.%4.%5.%6.%7.%8.%9"/>
      <w:lvlJc w:val="left"/>
      <w:pPr>
        <w:ind w:left="2520" w:hanging="2160"/>
      </w:pPr>
      <w:rPr>
        <w:rFonts w:hint="default"/>
        <w:b w:val="0"/>
        <w:color w:val="auto"/>
        <w:u w:val="none"/>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9670BB0"/>
    <w:multiLevelType w:val="multilevel"/>
    <w:tmpl w:val="2AB240C2"/>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1069234933">
    <w:abstractNumId w:val="7"/>
  </w:num>
  <w:num w:numId="2" w16cid:durableId="265967952">
    <w:abstractNumId w:val="2"/>
  </w:num>
  <w:num w:numId="3" w16cid:durableId="795371769">
    <w:abstractNumId w:val="1"/>
  </w:num>
  <w:num w:numId="4" w16cid:durableId="2080512806">
    <w:abstractNumId w:val="5"/>
  </w:num>
  <w:num w:numId="5" w16cid:durableId="1966427459">
    <w:abstractNumId w:val="4"/>
  </w:num>
  <w:num w:numId="6" w16cid:durableId="384454518">
    <w:abstractNumId w:val="0"/>
  </w:num>
  <w:num w:numId="7" w16cid:durableId="1212763258">
    <w:abstractNumId w:val="3"/>
  </w:num>
  <w:num w:numId="8" w16cid:durableId="324018004">
    <w:abstractNumId w:val="6"/>
  </w:num>
  <w:num w:numId="9" w16cid:durableId="1299652164">
    <w:abstractNumId w:val="8"/>
  </w:num>
  <w:num w:numId="10" w16cid:durableId="8555781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403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2662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68105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6D"/>
    <w:rsid w:val="000111D7"/>
    <w:rsid w:val="000569BC"/>
    <w:rsid w:val="0006179B"/>
    <w:rsid w:val="000A5A04"/>
    <w:rsid w:val="000A70EA"/>
    <w:rsid w:val="000B15F8"/>
    <w:rsid w:val="000E61F5"/>
    <w:rsid w:val="00146DB0"/>
    <w:rsid w:val="00182AB3"/>
    <w:rsid w:val="001A128E"/>
    <w:rsid w:val="001E5160"/>
    <w:rsid w:val="001E6D2F"/>
    <w:rsid w:val="001F245A"/>
    <w:rsid w:val="0028200F"/>
    <w:rsid w:val="002839BA"/>
    <w:rsid w:val="0029680A"/>
    <w:rsid w:val="002C041D"/>
    <w:rsid w:val="002C31AA"/>
    <w:rsid w:val="002C43AA"/>
    <w:rsid w:val="002E5975"/>
    <w:rsid w:val="00312BB9"/>
    <w:rsid w:val="00360EB8"/>
    <w:rsid w:val="003731C5"/>
    <w:rsid w:val="003911C6"/>
    <w:rsid w:val="00392E64"/>
    <w:rsid w:val="003B3B33"/>
    <w:rsid w:val="003C3A20"/>
    <w:rsid w:val="003E5A2A"/>
    <w:rsid w:val="003F4CBD"/>
    <w:rsid w:val="003F58E0"/>
    <w:rsid w:val="00486661"/>
    <w:rsid w:val="004C18E4"/>
    <w:rsid w:val="004F0A5F"/>
    <w:rsid w:val="004F566D"/>
    <w:rsid w:val="00523ED8"/>
    <w:rsid w:val="00553975"/>
    <w:rsid w:val="00584F10"/>
    <w:rsid w:val="005864A8"/>
    <w:rsid w:val="005A6A82"/>
    <w:rsid w:val="005A70AE"/>
    <w:rsid w:val="005F44A9"/>
    <w:rsid w:val="00611FF6"/>
    <w:rsid w:val="006A796C"/>
    <w:rsid w:val="00707CAB"/>
    <w:rsid w:val="00723EF4"/>
    <w:rsid w:val="00733C48"/>
    <w:rsid w:val="00734ED4"/>
    <w:rsid w:val="00761C16"/>
    <w:rsid w:val="0076286A"/>
    <w:rsid w:val="00777DFE"/>
    <w:rsid w:val="00796FE1"/>
    <w:rsid w:val="007C0FCC"/>
    <w:rsid w:val="007D3D67"/>
    <w:rsid w:val="00812EBC"/>
    <w:rsid w:val="00830806"/>
    <w:rsid w:val="0083270F"/>
    <w:rsid w:val="008C237C"/>
    <w:rsid w:val="00910516"/>
    <w:rsid w:val="009463BB"/>
    <w:rsid w:val="00956779"/>
    <w:rsid w:val="00957EAA"/>
    <w:rsid w:val="00A35793"/>
    <w:rsid w:val="00AC0537"/>
    <w:rsid w:val="00AE27D1"/>
    <w:rsid w:val="00B1761C"/>
    <w:rsid w:val="00B363DA"/>
    <w:rsid w:val="00B54BBC"/>
    <w:rsid w:val="00B562E2"/>
    <w:rsid w:val="00B6786A"/>
    <w:rsid w:val="00B72FCF"/>
    <w:rsid w:val="00B84AEE"/>
    <w:rsid w:val="00BE570E"/>
    <w:rsid w:val="00C16FD2"/>
    <w:rsid w:val="00C23E59"/>
    <w:rsid w:val="00C36D74"/>
    <w:rsid w:val="00C44E43"/>
    <w:rsid w:val="00C76BBB"/>
    <w:rsid w:val="00C772D0"/>
    <w:rsid w:val="00CA4CF6"/>
    <w:rsid w:val="00CB5014"/>
    <w:rsid w:val="00CB5740"/>
    <w:rsid w:val="00CC63DF"/>
    <w:rsid w:val="00CC7B91"/>
    <w:rsid w:val="00CE267E"/>
    <w:rsid w:val="00CF0474"/>
    <w:rsid w:val="00D0369D"/>
    <w:rsid w:val="00D133BF"/>
    <w:rsid w:val="00D405B5"/>
    <w:rsid w:val="00D84259"/>
    <w:rsid w:val="00D97BB3"/>
    <w:rsid w:val="00DA50E3"/>
    <w:rsid w:val="00DE37AD"/>
    <w:rsid w:val="00E01B09"/>
    <w:rsid w:val="00E07CEC"/>
    <w:rsid w:val="00E548BC"/>
    <w:rsid w:val="00E5768D"/>
    <w:rsid w:val="00EA75EB"/>
    <w:rsid w:val="00F04A1D"/>
    <w:rsid w:val="00F15083"/>
    <w:rsid w:val="00F427A9"/>
    <w:rsid w:val="00F56A0F"/>
    <w:rsid w:val="00F73719"/>
    <w:rsid w:val="00F96F91"/>
    <w:rsid w:val="00FC39E2"/>
    <w:rsid w:val="00FC7B0B"/>
    <w:rsid w:val="00FD7C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285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450"/>
      </w:tabs>
      <w:outlineLvl w:val="5"/>
    </w:pPr>
    <w:rPr>
      <w:sz w:val="24"/>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1890"/>
      </w:tabs>
      <w:ind w:left="-1440" w:right="-1771"/>
    </w:pPr>
    <w:rPr>
      <w:b/>
      <w:sz w:val="24"/>
    </w:rPr>
  </w:style>
  <w:style w:type="paragraph" w:styleId="BodyText">
    <w:name w:val="Body Text"/>
    <w:basedOn w:val="Normal"/>
    <w:pPr>
      <w:tabs>
        <w:tab w:val="left" w:pos="-1890"/>
      </w:tabs>
      <w:ind w:right="1440"/>
      <w:jc w:val="both"/>
    </w:pPr>
    <w:rPr>
      <w:b/>
      <w:sz w:val="24"/>
    </w:rPr>
  </w:style>
  <w:style w:type="paragraph" w:styleId="BodyText2">
    <w:name w:val="Body Text 2"/>
    <w:basedOn w:val="Normal"/>
    <w:rPr>
      <w:rFonts w:ascii="Arial" w:hAnsi="Arial" w:cs="Arial"/>
      <w:sz w:val="24"/>
    </w:rPr>
  </w:style>
  <w:style w:type="character" w:styleId="Hyperlink">
    <w:name w:val="Hyperlink"/>
    <w:rPr>
      <w:color w:val="0000FF"/>
      <w:u w:val="single"/>
    </w:rPr>
  </w:style>
  <w:style w:type="paragraph" w:styleId="BodyText3">
    <w:name w:val="Body Text 3"/>
    <w:basedOn w:val="Normal"/>
    <w:rPr>
      <w:sz w:val="28"/>
    </w:rPr>
  </w:style>
  <w:style w:type="paragraph" w:styleId="BodyTextIndent">
    <w:name w:val="Body Text Indent"/>
    <w:basedOn w:val="Normal"/>
    <w:pPr>
      <w:ind w:left="360"/>
    </w:pPr>
    <w:rPr>
      <w:sz w:val="28"/>
    </w:rPr>
  </w:style>
  <w:style w:type="paragraph" w:styleId="BodyTextIndent2">
    <w:name w:val="Body Text Indent 2"/>
    <w:basedOn w:val="Normal"/>
    <w:pPr>
      <w:ind w:left="360" w:hanging="360"/>
      <w:jc w:val="both"/>
    </w:pPr>
    <w:rPr>
      <w:sz w:val="28"/>
    </w:rPr>
  </w:style>
  <w:style w:type="character" w:styleId="PageNumber">
    <w:name w:val="page number"/>
    <w:basedOn w:val="DefaultParagraphFont"/>
  </w:style>
  <w:style w:type="paragraph" w:styleId="BodyTextIndent3">
    <w:name w:val="Body Text Indent 3"/>
    <w:basedOn w:val="Normal"/>
    <w:pPr>
      <w:ind w:left="720" w:hanging="720"/>
      <w:jc w:val="both"/>
    </w:pPr>
    <w:rPr>
      <w:sz w:val="28"/>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73745A"/>
    <w:pPr>
      <w:jc w:val="center"/>
    </w:pPr>
    <w:rPr>
      <w:rFonts w:ascii="Arial" w:hAnsi="Arial" w:cs="Arial"/>
      <w:bCs/>
      <w:sz w:val="16"/>
      <w:u w:val="single"/>
    </w:rPr>
  </w:style>
  <w:style w:type="paragraph" w:customStyle="1" w:styleId="ColorfulList-Accent11">
    <w:name w:val="Colorful List - Accent 11"/>
    <w:basedOn w:val="Normal"/>
    <w:uiPriority w:val="34"/>
    <w:qFormat/>
    <w:rsid w:val="00D9240A"/>
    <w:pPr>
      <w:ind w:left="720"/>
    </w:pPr>
  </w:style>
  <w:style w:type="table" w:styleId="TableGrid">
    <w:name w:val="Table Grid"/>
    <w:basedOn w:val="TableNormal"/>
    <w:rsid w:val="001969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B853F9"/>
    <w:rPr>
      <w:color w:val="800080"/>
      <w:u w:val="single"/>
    </w:rPr>
  </w:style>
  <w:style w:type="character" w:customStyle="1" w:styleId="FooterChar">
    <w:name w:val="Footer Char"/>
    <w:link w:val="Footer"/>
    <w:uiPriority w:val="99"/>
    <w:rsid w:val="00A8486C"/>
    <w:rPr>
      <w:lang w:eastAsia="en-US"/>
    </w:rPr>
  </w:style>
  <w:style w:type="paragraph" w:styleId="ListParagraph">
    <w:name w:val="List Paragraph"/>
    <w:basedOn w:val="Normal"/>
    <w:uiPriority w:val="34"/>
    <w:qFormat/>
    <w:rsid w:val="00CB5740"/>
    <w:pPr>
      <w:numPr>
        <w:numId w:val="1"/>
      </w:numPr>
      <w:spacing w:after="240" w:line="288" w:lineRule="auto"/>
    </w:pPr>
    <w:rPr>
      <w:rFonts w:ascii="Arial" w:hAnsi="Arial"/>
      <w:sz w:val="22"/>
      <w:szCs w:val="24"/>
      <w:lang w:eastAsia="en-GB"/>
    </w:rPr>
  </w:style>
  <w:style w:type="paragraph" w:customStyle="1" w:styleId="Default">
    <w:name w:val="Default"/>
    <w:rsid w:val="00FC39E2"/>
    <w:pPr>
      <w:widowControl w:val="0"/>
      <w:autoSpaceDE w:val="0"/>
      <w:autoSpaceDN w:val="0"/>
      <w:adjustRightInd w:val="0"/>
    </w:pPr>
    <w:rPr>
      <w:rFonts w:ascii="Arial" w:hAnsi="Arial" w:cs="Arial"/>
      <w:color w:val="000000"/>
      <w:sz w:val="24"/>
      <w:szCs w:val="24"/>
      <w:lang w:val="en-US"/>
    </w:rPr>
  </w:style>
  <w:style w:type="character" w:styleId="CommentReference">
    <w:name w:val="annotation reference"/>
    <w:basedOn w:val="DefaultParagraphFont"/>
    <w:semiHidden/>
    <w:unhideWhenUsed/>
    <w:rsid w:val="00CC7B91"/>
    <w:rPr>
      <w:sz w:val="16"/>
      <w:szCs w:val="16"/>
    </w:rPr>
  </w:style>
  <w:style w:type="paragraph" w:styleId="CommentText">
    <w:name w:val="annotation text"/>
    <w:basedOn w:val="Normal"/>
    <w:link w:val="CommentTextChar"/>
    <w:unhideWhenUsed/>
    <w:rsid w:val="00CC7B91"/>
  </w:style>
  <w:style w:type="character" w:customStyle="1" w:styleId="CommentTextChar">
    <w:name w:val="Comment Text Char"/>
    <w:basedOn w:val="DefaultParagraphFont"/>
    <w:link w:val="CommentText"/>
    <w:rsid w:val="00CC7B91"/>
    <w:rPr>
      <w:lang w:eastAsia="en-US"/>
    </w:rPr>
  </w:style>
  <w:style w:type="paragraph" w:styleId="CommentSubject">
    <w:name w:val="annotation subject"/>
    <w:basedOn w:val="CommentText"/>
    <w:next w:val="CommentText"/>
    <w:link w:val="CommentSubjectChar"/>
    <w:semiHidden/>
    <w:unhideWhenUsed/>
    <w:rsid w:val="00CC7B91"/>
    <w:rPr>
      <w:b/>
      <w:bCs/>
    </w:rPr>
  </w:style>
  <w:style w:type="character" w:customStyle="1" w:styleId="CommentSubjectChar">
    <w:name w:val="Comment Subject Char"/>
    <w:basedOn w:val="CommentTextChar"/>
    <w:link w:val="CommentSubject"/>
    <w:semiHidden/>
    <w:rsid w:val="00CC7B91"/>
    <w:rPr>
      <w:b/>
      <w:bCs/>
      <w:lang w:eastAsia="en-US"/>
    </w:rPr>
  </w:style>
  <w:style w:type="paragraph" w:customStyle="1" w:styleId="DfESOutNumbered">
    <w:name w:val="DfESOutNumbered"/>
    <w:basedOn w:val="Normal"/>
    <w:link w:val="DfESOutNumberedChar"/>
    <w:rsid w:val="0083270F"/>
    <w:pPr>
      <w:widowControl w:val="0"/>
      <w:numPr>
        <w:numId w:val="7"/>
      </w:numPr>
      <w:overflowPunct w:val="0"/>
      <w:autoSpaceDE w:val="0"/>
      <w:autoSpaceDN w:val="0"/>
      <w:adjustRightInd w:val="0"/>
      <w:spacing w:after="240"/>
      <w:textAlignment w:val="baseline"/>
    </w:pPr>
    <w:rPr>
      <w:rFonts w:ascii="Arial" w:hAnsi="Arial" w:cs="Arial"/>
      <w:sz w:val="22"/>
    </w:rPr>
  </w:style>
  <w:style w:type="character" w:customStyle="1" w:styleId="Heading1Char">
    <w:name w:val="Heading 1 Char"/>
    <w:basedOn w:val="DefaultParagraphFont"/>
    <w:link w:val="Heading1"/>
    <w:rsid w:val="0083270F"/>
    <w:rPr>
      <w:b/>
      <w:sz w:val="24"/>
      <w:lang w:eastAsia="en-US"/>
    </w:rPr>
  </w:style>
  <w:style w:type="character" w:customStyle="1" w:styleId="DfESOutNumberedChar">
    <w:name w:val="DfESOutNumbered Char"/>
    <w:basedOn w:val="Heading1Char"/>
    <w:link w:val="DfESOutNumbered"/>
    <w:rsid w:val="0083270F"/>
    <w:rPr>
      <w:rFonts w:ascii="Arial" w:hAnsi="Arial" w:cs="Arial"/>
      <w:b w:val="0"/>
      <w:sz w:val="22"/>
      <w:lang w:eastAsia="en-US"/>
    </w:rPr>
  </w:style>
  <w:style w:type="paragraph" w:customStyle="1" w:styleId="DeptBullets">
    <w:name w:val="DeptBullets"/>
    <w:basedOn w:val="Normal"/>
    <w:link w:val="DeptBulletsChar"/>
    <w:rsid w:val="0083270F"/>
    <w:pPr>
      <w:widowControl w:val="0"/>
      <w:numPr>
        <w:numId w:val="8"/>
      </w:numPr>
      <w:overflowPunct w:val="0"/>
      <w:autoSpaceDE w:val="0"/>
      <w:autoSpaceDN w:val="0"/>
      <w:adjustRightInd w:val="0"/>
      <w:spacing w:after="240"/>
      <w:textAlignment w:val="baseline"/>
    </w:pPr>
    <w:rPr>
      <w:rFonts w:ascii="Arial" w:hAnsi="Arial"/>
      <w:sz w:val="24"/>
    </w:rPr>
  </w:style>
  <w:style w:type="character" w:customStyle="1" w:styleId="DeptBulletsChar">
    <w:name w:val="DeptBullets Char"/>
    <w:basedOn w:val="Heading1Char"/>
    <w:link w:val="DeptBullets"/>
    <w:rsid w:val="0083270F"/>
    <w:rPr>
      <w:rFonts w:ascii="Arial" w:hAnsi="Arial"/>
      <w:b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b\Application%20Data\Microsoft\Templates\Blank%20sheet%20header%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5B22975B49C95042A19DE411F56D1CF1" ma:contentTypeVersion="9" ma:contentTypeDescription="For departmental policy documents. Records retained for 10 years." ma:contentTypeScope="" ma:versionID="2254cb041156d6c8ed35048c47b33633">
  <xsd:schema xmlns:xsd="http://www.w3.org/2001/XMLSchema" xmlns:xs="http://www.w3.org/2001/XMLSchema" xmlns:p="http://schemas.microsoft.com/office/2006/metadata/properties" xmlns:ns1="http://schemas.microsoft.com/sharepoint/v3" xmlns:ns2="b8cb3cbd-ce5c-4a72-9da4-9013f91c5903" xmlns:ns3="997afc33-607c-4a50-be01-8845a1308ccc" targetNamespace="http://schemas.microsoft.com/office/2006/metadata/properties" ma:root="true" ma:fieldsID="b28821e4150345b7003c7483d3a6142c" ns1:_="" ns2:_="" ns3:_="">
    <xsd:import namespace="http://schemas.microsoft.com/sharepoint/v3"/>
    <xsd:import namespace="b8cb3cbd-ce5c-4a72-9da4-9013f91c5903"/>
    <xsd:import namespace="997afc33-607c-4a50-be01-8845a1308cc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17a142be-82c6-4ab4-a198-e86258f92e39}" ma:internalName="TaxCatchAll" ma:showField="CatchAllData" ma:web="997afc33-607c-4a50-be01-8845a1308cc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17a142be-82c6-4ab4-a198-e86258f92e39}" ma:internalName="TaxCatchAllLabel" ma:readOnly="true" ma:showField="CatchAllDataLabel" ma:web="997afc33-607c-4a50-be01-8845a1308c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1;#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42</Value>
      <Value>4</Value>
      <Value>2</Value>
      <Value>3</Value>
      <Value>13</Value>
      <Value>9</Value>
    </TaxCatchAll>
    <IWPContributor xmlns="997afc33-607c-4a50-be01-8845a1308ccc">
      <UserInfo>
        <DisplayName/>
        <AccountId xsi:nil="true"/>
        <AccountType/>
      </UserInfo>
    </IWPContributor>
    <IWPOrganisationalUnit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RightsProtectiveMarkingTaxHTField0 xmlns="997afc33-607c-4a50-be01-8845a1308cc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SiteTypeTaxHTField0 xmlns="997afc33-607c-4a50-be01-8845a1308ccc">
      <Terms xmlns="http://schemas.microsoft.com/office/infopath/2007/PartnerControls">
        <TermInfo xmlns="http://schemas.microsoft.com/office/infopath/2007/PartnerControls">
          <TermName>Project</TermName>
          <TermId>93a71d14-959c-44cc-bd90-e2598b79df3e</TermId>
        </TermInfo>
      </Terms>
    </IWPSiteTypeTaxHTField0>
    <IWPOwnerTaxHTField0 xmlns="997afc33-607c-4a50-be01-8845a1308cc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997afc33-607c-4a50-be01-8845a1308ccc">
      <Terms xmlns="http://schemas.microsoft.com/office/infopath/2007/PartnerControls">
        <TermInfo xmlns="http://schemas.microsoft.com/office/infopath/2007/PartnerControls">
          <TermName>Admissions</TermName>
          <TermId>47678ef3-17c8-448a-9fae-e307eeafd451</TermId>
        </TermInfo>
      </Terms>
    </IWPSubjectTaxHTField0>
    <IWPFunctionTaxHTField0 xmlns="997afc33-607c-4a50-be01-8845a1308ccc">
      <Terms xmlns="http://schemas.microsoft.com/office/infopath/2007/PartnerControls">
        <TermInfo xmlns="http://schemas.microsoft.com/office/infopath/2007/PartnerControls">
          <TermName>Schools</TermName>
          <TermId>7fa7799a-751c-48d9-967f-4b996c828f32</TermId>
        </TermInfo>
      </Terms>
    </IWPFunctionTaxHTField0>
    <Comments xmlns="http://schemas.microsoft.com/sharepoint/v3" xsi:nil="true"/>
    <_dlc_DocId xmlns="b8cb3cbd-ce5c-4a72-9da4-9013f91c5903">Z6JRPTRWTTFX-10-55055</_dlc_DocId>
    <_dlc_DocIdUrl xmlns="b8cb3cbd-ce5c-4a72-9da4-9013f91c5903">
      <Url>http://workplaces/sites/sr/f/_layouts/DocIdRedir.aspx?ID=Z6JRPTRWTTFX-10-55055</Url>
      <Description>Z6JRPTRWTTFX-10-55055</Description>
    </_dlc_DocIdUrl>
  </documentManagement>
</p:properties>
</file>

<file path=customXml/itemProps1.xml><?xml version="1.0" encoding="utf-8"?>
<ds:datastoreItem xmlns:ds="http://schemas.openxmlformats.org/officeDocument/2006/customXml" ds:itemID="{67920D77-4B48-4197-8B35-0822250E8B3C}">
  <ds:schemaRefs>
    <ds:schemaRef ds:uri="Microsoft.SharePoint.Taxonomy.ContentTypeSync"/>
  </ds:schemaRefs>
</ds:datastoreItem>
</file>

<file path=customXml/itemProps2.xml><?xml version="1.0" encoding="utf-8"?>
<ds:datastoreItem xmlns:ds="http://schemas.openxmlformats.org/officeDocument/2006/customXml" ds:itemID="{ADAC23A9-328F-4DCD-BADD-73D64B27641C}">
  <ds:schemaRefs>
    <ds:schemaRef ds:uri="http://schemas.microsoft.com/sharepoint/events"/>
  </ds:schemaRefs>
</ds:datastoreItem>
</file>

<file path=customXml/itemProps3.xml><?xml version="1.0" encoding="utf-8"?>
<ds:datastoreItem xmlns:ds="http://schemas.openxmlformats.org/officeDocument/2006/customXml" ds:itemID="{C1E27E63-5C4E-294F-8569-165FA286F987}">
  <ds:schemaRefs>
    <ds:schemaRef ds:uri="http://schemas.openxmlformats.org/officeDocument/2006/bibliography"/>
  </ds:schemaRefs>
</ds:datastoreItem>
</file>

<file path=customXml/itemProps4.xml><?xml version="1.0" encoding="utf-8"?>
<ds:datastoreItem xmlns:ds="http://schemas.openxmlformats.org/officeDocument/2006/customXml" ds:itemID="{6F20C610-9A44-440C-8C41-06586EBD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997afc33-607c-4a50-be01-8845a1308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64B411-4672-4D04-8D45-E10E01CB726C}">
  <ds:schemaRefs>
    <ds:schemaRef ds:uri="http://schemas.microsoft.com/sharepoint/v3/contenttype/forms"/>
  </ds:schemaRefs>
</ds:datastoreItem>
</file>

<file path=customXml/itemProps6.xml><?xml version="1.0" encoding="utf-8"?>
<ds:datastoreItem xmlns:ds="http://schemas.openxmlformats.org/officeDocument/2006/customXml" ds:itemID="{817FDD73-16E3-4249-B9EE-AF86AB0198C8}">
  <ds:schemaRefs>
    <ds:schemaRef ds:uri="http://schemas.microsoft.com/office/2006/metadata/properties"/>
    <ds:schemaRef ds:uri="http://schemas.microsoft.com/office/infopath/2007/PartnerControls"/>
    <ds:schemaRef ds:uri="b8cb3cbd-ce5c-4a72-9da4-9013f91c5903"/>
    <ds:schemaRef ds:uri="997afc33-607c-4a50-be01-8845a1308cc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C:\Documents and Settings\andyb\Application Data\Microsoft\Templates\Blank sheet header with logo.dot</Template>
  <TotalTime>11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Boxing</vt:lpstr>
    </vt:vector>
  </TitlesOfParts>
  <Company>Compaq</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Boxing</dc:title>
  <dc:creator>The Boxing Academy</dc:creator>
  <cp:lastModifiedBy>Anna Cain</cp:lastModifiedBy>
  <cp:revision>7</cp:revision>
  <cp:lastPrinted>2016-10-18T17:42:00Z</cp:lastPrinted>
  <dcterms:created xsi:type="dcterms:W3CDTF">2021-11-02T12:55:00Z</dcterms:created>
  <dcterms:modified xsi:type="dcterms:W3CDTF">2024-01-27T13:52:00Z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0x0101007F645D6FBA204A029FECB8BFC6578C39005279853530254253B886E13194843F8A003AA4A7828D8545A79A93568012812347005B22975B49C95042A19DE411F56D1CF1</vt:lpwstr>
  </property>
  <property fmtid="{D5CDD505-2E9C-101B-9397-08002B2CF9AE}" pid="3" name="IWPOrganisationalUnit">
    <vt:lpwstr>4;#DfE|cc08a6d4-dfde-4d0f-bd85-069ebcef80d5</vt:lpwstr>
  </property>
  <property fmtid="{D5CDD505-2E9C-101B-9397-08002B2CF9AE}" pid="4" name="IWPSiteType">
    <vt:lpwstr>9;#Project|93a71d14-959c-44cc-bd90-e2598b79df3e</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13;#Schools|7fa7799a-751c-48d9-967f-4b996c828f32</vt:lpwstr>
  </property>
  <property fmtid="{D5CDD505-2E9C-101B-9397-08002B2CF9AE}" pid="8" name="IWPSubject">
    <vt:lpwstr>42;#Admissions|47678ef3-17c8-448a-9fae-e307eeafd451</vt:lpwstr>
  </property>
  <property fmtid="{D5CDD505-2E9C-101B-9397-08002B2CF9AE}" pid="9" name="_dlc_DocIdItemGuid">
    <vt:lpwstr>46b6c3fb-4cf0-47d5-b72a-ffe85edca347</vt:lpwstr>
  </property>
</Properties>
</file>